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EA118" w14:textId="77777777" w:rsidR="004A612E" w:rsidRPr="000F6CA3" w:rsidRDefault="004A612E">
      <w:pPr>
        <w:spacing w:before="2000"/>
        <w:rPr>
          <w:rFonts w:ascii="微软雅黑" w:eastAsia="微软雅黑" w:hAnsi="微软雅黑"/>
        </w:rPr>
      </w:pPr>
    </w:p>
    <w:p w14:paraId="1706E97E" w14:textId="77777777" w:rsidR="004A612E" w:rsidRPr="000F6CA3" w:rsidRDefault="008622BD">
      <w:pPr>
        <w:shd w:val="clear" w:color="auto" w:fill="1F3864"/>
        <w:jc w:val="center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D6E4F0"/>
          <w:sz w:val="52"/>
          <w:szCs w:val="52"/>
        </w:rPr>
        <w:t>EP Equipment</w:t>
      </w:r>
    </w:p>
    <w:p w14:paraId="7F383D18" w14:textId="77777777" w:rsidR="004A612E" w:rsidRPr="000F6CA3" w:rsidRDefault="008622BD">
      <w:pPr>
        <w:shd w:val="clear" w:color="auto" w:fill="1F3864"/>
        <w:jc w:val="center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56"/>
          <w:szCs w:val="56"/>
        </w:rPr>
        <w:t>海外 SAP 全球模板设计与专题讨论</w:t>
      </w:r>
    </w:p>
    <w:p w14:paraId="2B8CB602" w14:textId="77777777" w:rsidR="004A612E" w:rsidRPr="000F6CA3" w:rsidRDefault="008622BD">
      <w:pPr>
        <w:shd w:val="clear" w:color="auto" w:fill="1F3864"/>
        <w:jc w:val="center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  <w:sz w:val="26"/>
          <w:szCs w:val="26"/>
        </w:rPr>
        <w:t>Overseas SAP Global Template Design &amp; Workshop Topics</w:t>
      </w:r>
    </w:p>
    <w:p w14:paraId="502F40F8" w14:textId="77777777" w:rsidR="004A612E" w:rsidRPr="000F6CA3" w:rsidRDefault="004A612E">
      <w:pPr>
        <w:shd w:val="clear" w:color="auto" w:fill="1F3864"/>
        <w:spacing w:after="200"/>
        <w:rPr>
          <w:rFonts w:ascii="微软雅黑" w:eastAsia="微软雅黑" w:hAnsi="微软雅黑"/>
        </w:rPr>
      </w:pPr>
    </w:p>
    <w:p w14:paraId="3FDC468E" w14:textId="77777777" w:rsidR="004A612E" w:rsidRPr="000F6CA3" w:rsidRDefault="004A612E">
      <w:pPr>
        <w:spacing w:before="200" w:after="20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3"/>
        <w:gridCol w:w="6042"/>
      </w:tblGrid>
      <w:tr w:rsidR="004A612E" w:rsidRPr="000F6CA3" w14:paraId="4FF93E5E" w14:textId="77777777">
        <w:trPr>
          <w:tblHeader/>
        </w:trPr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8B94F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项目信息 / Document Info</w:t>
            </w:r>
          </w:p>
        </w:tc>
        <w:tc>
          <w:tcPr>
            <w:tcW w:w="604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5DED0B4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0ADE1D8E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7DA6B3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版本 / Version</w:t>
            </w:r>
          </w:p>
        </w:tc>
        <w:tc>
          <w:tcPr>
            <w:tcW w:w="604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150912D" w14:textId="674F910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v2.</w:t>
            </w:r>
            <w:r w:rsidR="00C85462" w:rsidRPr="000F6CA3">
              <w:rPr>
                <w:rFonts w:ascii="微软雅黑" w:eastAsia="微软雅黑" w:hAnsi="微软雅黑" w:hint="eastAsia"/>
                <w:sz w:val="19"/>
                <w:szCs w:val="19"/>
              </w:rPr>
              <w:t>2</w:t>
            </w:r>
          </w:p>
        </w:tc>
      </w:tr>
      <w:tr w:rsidR="004A612E" w:rsidRPr="000F6CA3" w14:paraId="2A29966D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620788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日期 / Date</w:t>
            </w:r>
          </w:p>
        </w:tc>
        <w:tc>
          <w:tcPr>
            <w:tcW w:w="604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6BC8AE7" w14:textId="596624D6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2026-0</w:t>
            </w:r>
            <w:r w:rsidR="00C85462" w:rsidRPr="000F6CA3">
              <w:rPr>
                <w:rFonts w:ascii="微软雅黑" w:eastAsia="微软雅黑" w:hAnsi="微软雅黑" w:hint="eastAsia"/>
                <w:sz w:val="19"/>
                <w:szCs w:val="19"/>
              </w:rPr>
              <w:t>7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t>-</w:t>
            </w:r>
            <w:r w:rsidR="00C85462" w:rsidRPr="000F6CA3">
              <w:rPr>
                <w:rFonts w:ascii="微软雅黑" w:eastAsia="微软雅黑" w:hAnsi="微软雅黑" w:hint="eastAsia"/>
                <w:sz w:val="19"/>
                <w:szCs w:val="19"/>
              </w:rPr>
              <w:t>07</w:t>
            </w:r>
          </w:p>
        </w:tc>
      </w:tr>
      <w:tr w:rsidR="004A612E" w:rsidRPr="000F6CA3" w14:paraId="293EDB5E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87C8EE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受众 / Audience</w:t>
            </w:r>
          </w:p>
        </w:tc>
        <w:tc>
          <w:tcPr>
            <w:tcW w:w="604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D83180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EP 欧洲管理层及项目核心团队 / EP European Leadership &amp; Core Project Team</w:t>
            </w:r>
          </w:p>
        </w:tc>
      </w:tr>
      <w:tr w:rsidR="004A612E" w:rsidRPr="000F6CA3" w14:paraId="62A27A69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72743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编制方 / Prepared by</w:t>
            </w:r>
          </w:p>
        </w:tc>
        <w:tc>
          <w:tcPr>
            <w:tcW w:w="604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0E0943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BOS Consulting</w:t>
            </w:r>
          </w:p>
        </w:tc>
      </w:tr>
      <w:tr w:rsidR="004A612E" w:rsidRPr="000F6CA3" w14:paraId="45A64F1B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E3F011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文件性质 / Nature</w:t>
            </w:r>
          </w:p>
        </w:tc>
        <w:tc>
          <w:tcPr>
            <w:tcW w:w="604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21974E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项目蓝图阶段对齐文件 / Blueprint Phase Alignment Document</w:t>
            </w:r>
          </w:p>
        </w:tc>
      </w:tr>
    </w:tbl>
    <w:p w14:paraId="18359774" w14:textId="77777777" w:rsidR="004A612E" w:rsidRPr="000F6CA3" w:rsidRDefault="004A612E">
      <w:pPr>
        <w:spacing w:before="240"/>
        <w:rPr>
          <w:rFonts w:ascii="微软雅黑" w:eastAsia="微软雅黑" w:hAnsi="微软雅黑"/>
        </w:rPr>
      </w:pPr>
    </w:p>
    <w:p w14:paraId="1287E39A" w14:textId="77777777" w:rsidR="004A612E" w:rsidRPr="000F6CA3" w:rsidRDefault="008622BD">
      <w:pPr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</w:rPr>
        <w:br w:type="page"/>
      </w:r>
    </w:p>
    <w:p w14:paraId="02334252" w14:textId="77777777" w:rsidR="004A612E" w:rsidRPr="000F6CA3" w:rsidRDefault="008622BD">
      <w:pPr>
        <w:shd w:val="clear" w:color="auto" w:fill="1F3864"/>
        <w:spacing w:before="100"/>
        <w:ind w:lef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2"/>
          <w:szCs w:val="32"/>
        </w:rPr>
        <w:lastRenderedPageBreak/>
        <w:t>目录 / Table of Contents</w:t>
      </w:r>
    </w:p>
    <w:p w14:paraId="0384002F" w14:textId="77777777" w:rsidR="004A612E" w:rsidRPr="000F6CA3" w:rsidRDefault="004A612E">
      <w:pPr>
        <w:shd w:val="clear" w:color="auto" w:fill="1F3864"/>
        <w:spacing w:after="24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76"/>
        <w:gridCol w:w="1169"/>
      </w:tblGrid>
      <w:tr w:rsidR="004A612E" w:rsidRPr="000F6CA3" w14:paraId="09E5946C" w14:textId="77777777">
        <w:trPr>
          <w:tblHeader/>
        </w:trPr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07CDF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章节 / Section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8763540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3DB49DC1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77BA13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1. 背景：为什么以欧洲为全球模板核心  /  Background: Why Europe Leads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E58F3A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39CDDF54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514CE5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2. 全球模板架构设计  /  Global Template Architecture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3D395A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4440A5A5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9FD64B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TA · 全球模板架构层数决策（2层 vs 3层）/ Template Architecture: 2-Layer vs 3-Layer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90EB4F2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1738716E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F1F7CF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3.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设计  /  Master Data Design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0ACBC6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46509E56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643E3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T01 ·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物料主数据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设计哲学 / Material Master Design Philosophy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FB46341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281F78BF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DD72E7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T02 ·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物料主数据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标准与 TC-PLM 同步 / Material Master &amp; TC-PLM Sync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31E9AA4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2548953A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A67F1D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T03 · 销售 BOM vs 变式配置 VC / Sales BOM vs Variant Configuration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0B545EE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6C66FDE6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919C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T04 · VIN / 序列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号管理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规则 / VIN &amp; Serial Number Management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9383571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3B2A2C5A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27563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T05 · 业务伙伴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治理 / Business Partner Governance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E227688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4A36A951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F456B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T06 · 组织架构与利润中心粒度 /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Organisation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Structure &amp; Profit Centre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7B01C33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23A59C99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E0A6BA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4. 贸易业务流程设计  /  Trade Process Design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0CFEC35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05498944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375704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T07 · Vehicle 销售全流程 OTC / Full Vehicle Sales O2C Flow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610D56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5EC28FF5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123B44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T08 · 补货与库存策略 / Replenishment &amp; Inventory Strategy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1C7883F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5C0B2372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919974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T09 · VIN 级别折扣定价 / VIN-Level Discount Pricing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CC5CA7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0DF59B07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25BAF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T10 · 配件销售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与飞仓寄售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Spare Parts Sales &amp; Consignment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72ECDD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39A84499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2490CA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T11 · 售后服务与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边界 / After-Sales Service &amp;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Boundary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761FA1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228671E9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5C64A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T12 · 租赁业务 L2C 方案选择 / Leasing Solution Selection L2C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E8DD738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5CDC7E52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CCC72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5. 财务合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规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设计  /  Financial Compliance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D00A591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6DF8E3B6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1E6F70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T13 · 科目表 ·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平行账套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· IFRS 15 / COA · Parallel Ledgers · IFRS 15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4A02002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4FA6232E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44A80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T14 · IFRS 16 出租方处理 / IFRS 16 Lessor Accounting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4EF6943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01C17ADF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3A07CE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T15 · 欧洲双层合并与本地 GAAP / Two-Tier Consolidation &amp; Local GAAP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EE42739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6938085F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93633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T16 · 增值税 / Intrastat / 税务合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规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VAT &amp; Tax Compliance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F5273FA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023CD08A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5A61A7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6. IT 集成架构  /  IT Integration Architecture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05183DE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67CA9F51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18FF6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   T17 · IT 集成架构与接口优先级 / IT Integration &amp; Interface Priorities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40AA78D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253AC7AA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34ED11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7. 专题讨论汇总  /  Workshop Topics Summary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1B98546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368EB1E8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0A9A8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附录 A：SAP 术语对照 / Appendix A: SAP Glossary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0D7EC3D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521507B3" w14:textId="77777777">
        <w:tc>
          <w:tcPr>
            <w:tcW w:w="857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4BF1A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附录 B：欧洲工作日历提示 / Appendix B: European Work Calendar</w:t>
            </w:r>
          </w:p>
        </w:tc>
        <w:tc>
          <w:tcPr>
            <w:tcW w:w="116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B81EAAF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</w:tbl>
    <w:p w14:paraId="0BD54CDA" w14:textId="77777777" w:rsidR="004A612E" w:rsidRPr="000F6CA3" w:rsidRDefault="008622BD">
      <w:pPr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</w:rPr>
        <w:br w:type="page"/>
      </w:r>
    </w:p>
    <w:p w14:paraId="10F1ED1D" w14:textId="77777777" w:rsidR="004A612E" w:rsidRPr="000F6CA3" w:rsidRDefault="008622BD">
      <w:pPr>
        <w:shd w:val="clear" w:color="auto" w:fill="1F3864"/>
        <w:spacing w:before="20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lastRenderedPageBreak/>
        <w:t>1.  背景：为什么以欧洲为全球模板核心</w:t>
      </w:r>
    </w:p>
    <w:p w14:paraId="2C222191" w14:textId="77777777" w:rsidR="004A612E" w:rsidRPr="000F6CA3" w:rsidRDefault="008622BD">
      <w:pPr>
        <w:shd w:val="clear" w:color="auto" w:fill="1F3864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>1.  Background: Why Europe Leads the Global Template</w:t>
      </w:r>
    </w:p>
    <w:p w14:paraId="346E7BB6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EP Equipment 的海外业务覆盖 15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个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国家，涉及 vehicle 销售、配件、售后服务和租赁等多种业态。SAP 实施若逐国独立推进，不仅成本高昂，更无法在集团层面实现统一财务报告与管控。因此，项目采用'全球模板先行'策略：先在业务最复杂的法人建立一套黄金标准配置，再向其余国家快速复制。</w:t>
      </w:r>
    </w:p>
    <w:p w14:paraId="0D8CCC43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 Equipment's overseas business spans 15 countries, covering vehicle sales, spare parts, after-sales service, and leasing. The project adopts a 'global template first' strategy: build a gold-standard configuration at the most complex legal entities first, then replicate across other countries.</w:t>
      </w:r>
    </w:p>
    <w:p w14:paraId="6D84E354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93"/>
        <w:gridCol w:w="5652"/>
      </w:tblGrid>
      <w:tr w:rsidR="004A612E" w:rsidRPr="000F6CA3" w14:paraId="3A126E4E" w14:textId="77777777">
        <w:trPr>
          <w:tblHeader/>
        </w:trPr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12082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选择欧洲为模板核心的理由 / Why Europe</w:t>
            </w:r>
          </w:p>
        </w:tc>
        <w:tc>
          <w:tcPr>
            <w:tcW w:w="565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4D0672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说明 / Explanation</w:t>
            </w:r>
          </w:p>
        </w:tc>
      </w:tr>
      <w:tr w:rsidR="004A612E" w:rsidRPr="000F6CA3" w14:paraId="1A4748CB" w14:textId="77777777"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01E7B1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业务场景最完整 / Most complete scope</w:t>
            </w:r>
          </w:p>
        </w:tc>
        <w:tc>
          <w:tcPr>
            <w:tcW w:w="565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6498D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 销售、配件、服务、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租赁四大业态全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覆盖 / All four business lines</w:t>
            </w:r>
          </w:p>
        </w:tc>
      </w:tr>
      <w:tr w:rsidR="004A612E" w:rsidRPr="000F6CA3" w14:paraId="66BE856E" w14:textId="77777777"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BC0566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合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规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要求最严格 / Strictest compliance</w:t>
            </w:r>
          </w:p>
        </w:tc>
        <w:tc>
          <w:tcPr>
            <w:tcW w:w="565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C0AD2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IFRS 15/16、欧盟增值税、Intrastat、三国本地 GAAP</w:t>
            </w:r>
          </w:p>
        </w:tc>
      </w:tr>
      <w:tr w:rsidR="004A612E" w:rsidRPr="000F6CA3" w14:paraId="2D80CEC8" w14:textId="77777777"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11C0E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跨公司交易最典型 / Most representative IC</w:t>
            </w:r>
          </w:p>
        </w:tc>
        <w:tc>
          <w:tcPr>
            <w:tcW w:w="565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2212B2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三法人之间内部交易，需要完整消除场景</w:t>
            </w:r>
          </w:p>
        </w:tc>
      </w:tr>
      <w:tr w:rsidR="004A612E" w:rsidRPr="000F6CA3" w14:paraId="398AE03B" w14:textId="77777777"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189AC2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管理层深度参与 / Strong leadership engagement</w:t>
            </w:r>
          </w:p>
        </w:tc>
        <w:tc>
          <w:tcPr>
            <w:tcW w:w="565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99EBB7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欧洲管理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层主动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要求参与设计</w:t>
            </w:r>
          </w:p>
        </w:tc>
      </w:tr>
      <w:tr w:rsidR="004A612E" w:rsidRPr="000F6CA3" w14:paraId="426F04FF" w14:textId="77777777"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FC9180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复用性最高 / Highest reusability</w:t>
            </w:r>
          </w:p>
        </w:tc>
        <w:tc>
          <w:tcPr>
            <w:tcW w:w="565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AB307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欧洲贸易模板直接被 Wave 2 纯贸易法人继承</w:t>
            </w:r>
          </w:p>
        </w:tc>
      </w:tr>
    </w:tbl>
    <w:p w14:paraId="381F7438" w14:textId="77777777" w:rsidR="004A612E" w:rsidRPr="000F6CA3" w:rsidRDefault="004A612E">
      <w:pPr>
        <w:spacing w:before="120" w:after="60"/>
        <w:rPr>
          <w:rFonts w:ascii="微软雅黑" w:eastAsia="微软雅黑" w:hAnsi="微软雅黑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4"/>
        <w:gridCol w:w="2294"/>
        <w:gridCol w:w="3504"/>
        <w:gridCol w:w="3032"/>
      </w:tblGrid>
      <w:tr w:rsidR="004A612E" w:rsidRPr="000F6CA3" w14:paraId="143132B6" w14:textId="77777777">
        <w:trPr>
          <w:tblHeader/>
        </w:trPr>
        <w:tc>
          <w:tcPr>
            <w:tcW w:w="97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9BA558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Wave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6FAC9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法人 / Entity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33D6F4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国家 / Country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E1EC4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特点 / Notes</w:t>
            </w:r>
          </w:p>
        </w:tc>
      </w:tr>
      <w:tr w:rsidR="004A612E" w:rsidRPr="000F6CA3" w14:paraId="5E973147" w14:textId="77777777">
        <w:tc>
          <w:tcPr>
            <w:tcW w:w="97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E73335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Wave 1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484F4B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EP Equipment UK Ltd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AD944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英国 / UK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D1D782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 + Parts + Service + Leasing</w:t>
            </w:r>
          </w:p>
        </w:tc>
      </w:tr>
      <w:tr w:rsidR="004A612E" w:rsidRPr="000F6CA3" w14:paraId="054EB1BC" w14:textId="77777777">
        <w:tc>
          <w:tcPr>
            <w:tcW w:w="97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94A6B1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Wave 1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6FAA28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EP Equipment Germany GmbH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839DAB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德国 / DE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88E89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 + Parts + Service + Leasing</w:t>
            </w:r>
          </w:p>
        </w:tc>
      </w:tr>
      <w:tr w:rsidR="004A612E" w:rsidRPr="000F6CA3" w14:paraId="1AEFCFA2" w14:textId="77777777">
        <w:tc>
          <w:tcPr>
            <w:tcW w:w="97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7052F7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Wave 1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FAF4F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E-P Equipment Europe BV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293C66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比利时 / BE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2F12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 + Parts</w:t>
            </w:r>
          </w:p>
        </w:tc>
      </w:tr>
      <w:tr w:rsidR="004A612E" w:rsidRPr="000F6CA3" w14:paraId="2E6BEC5D" w14:textId="77777777">
        <w:tc>
          <w:tcPr>
            <w:tcW w:w="97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CFD38F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Wave 1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97E4D2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EP Equipment Thailand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D6244F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泰国 / TH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DFC2D8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含制造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PP 模块 / Incl. Manufacturing PP</w:t>
            </w:r>
          </w:p>
        </w:tc>
      </w:tr>
      <w:tr w:rsidR="004A612E" w:rsidRPr="000F6CA3" w14:paraId="1DAE3B32" w14:textId="77777777">
        <w:tc>
          <w:tcPr>
            <w:tcW w:w="97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D576E7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Wave 2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35E4C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11 法人 / 11 Entities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495C75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Indonesia·Panama·Japan·UAE·Korea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etc.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10DE8F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纯贸易 / Pure-trading; inherits Europe template</w:t>
            </w:r>
          </w:p>
        </w:tc>
      </w:tr>
    </w:tbl>
    <w:p w14:paraId="4021B83E" w14:textId="77777777" w:rsidR="004A612E" w:rsidRPr="000F6CA3" w:rsidRDefault="008622BD">
      <w:pPr>
        <w:pageBreakBefore/>
        <w:shd w:val="clear" w:color="auto" w:fill="1F3864"/>
        <w:spacing w:before="20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lastRenderedPageBreak/>
        <w:t>2.  全球模板架构设计</w:t>
      </w:r>
    </w:p>
    <w:p w14:paraId="68A5FC83" w14:textId="77777777" w:rsidR="004A612E" w:rsidRPr="000F6CA3" w:rsidRDefault="008622BD">
      <w:pPr>
        <w:shd w:val="clear" w:color="auto" w:fill="1F3864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>2.  Global Template Architecture</w:t>
      </w:r>
    </w:p>
    <w:p w14:paraId="42D50D33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2.1  架构层数：首要决策</w:t>
      </w:r>
    </w:p>
    <w:p w14:paraId="02682EAE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2.1  Number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of Layers: The Primary Decision</w:t>
      </w:r>
    </w:p>
    <w:p w14:paraId="71D371D2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在进入具体内容设计之前，有一个根本性的架构问题需要与管理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层共同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决定：EP 海外 SAP 全球模板，应该是两层结构还是三层结构？这是本文档所有其他专题的前提，建议作为第一个工作坊议题。</w:t>
      </w:r>
    </w:p>
    <w:p w14:paraId="57C2705D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 fundamental architectural question must be decided jointly with leadership: should EP's overseas SAP global template use a two-layer or three-layer structure? This is the prerequisite for all other topics and is recommended as the first workshop.</w:t>
      </w:r>
    </w:p>
    <w:p w14:paraId="595D7FEB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p w14:paraId="18F75B01" w14:textId="6766F277" w:rsidR="005F5566" w:rsidRPr="000F6CA3" w:rsidRDefault="005F5566">
      <w:pPr>
        <w:spacing w:before="10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noProof/>
        </w:rPr>
        <w:drawing>
          <wp:inline distT="0" distB="0" distL="0" distR="0" wp14:anchorId="7370AB46" wp14:editId="6B5A0C4B">
            <wp:extent cx="6188710" cy="4344670"/>
            <wp:effectExtent l="0" t="0" r="2540" b="0"/>
            <wp:docPr id="2692317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23172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34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58F39" w14:textId="54A2E5E7" w:rsidR="005F5566" w:rsidRPr="000F6CA3" w:rsidRDefault="005F5566">
      <w:pPr>
        <w:spacing w:before="10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</w:rPr>
        <w:t>A</w:t>
      </w:r>
      <w:r w:rsidRPr="000F6CA3">
        <w:rPr>
          <w:rFonts w:ascii="微软雅黑" w:eastAsia="微软雅黑" w:hAnsi="微软雅黑" w:hint="eastAsia"/>
        </w:rPr>
        <w:t>ll the reference processes from SAP Best Practice.</w:t>
      </w:r>
    </w:p>
    <w:p w14:paraId="1AAF7924" w14:textId="77777777" w:rsidR="005F5566" w:rsidRPr="000F6CA3" w:rsidRDefault="005F5566">
      <w:pPr>
        <w:spacing w:before="10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4"/>
        <w:gridCol w:w="3411"/>
        <w:gridCol w:w="4190"/>
      </w:tblGrid>
      <w:tr w:rsidR="004A612E" w:rsidRPr="000F6CA3" w14:paraId="625D8530" w14:textId="77777777">
        <w:trPr>
          <w:tblHeader/>
        </w:trPr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30135E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结构 / Structure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07EEA5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层级说明 / Layers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FEFECD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适用情形 / When to Use</w:t>
            </w:r>
          </w:p>
        </w:tc>
      </w:tr>
      <w:tr w:rsidR="004A612E" w:rsidRPr="000F6CA3" w14:paraId="6FF4EC0C" w14:textId="77777777"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8CB6C2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两层 / Two-Layer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F01460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Global Core → Local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E91C7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区域管理差异小，Wave 2 法人直接对标全局</w:t>
            </w:r>
          </w:p>
        </w:tc>
      </w:tr>
      <w:tr w:rsidR="004A612E" w:rsidRPr="000F6CA3" w14:paraId="7634B372" w14:textId="77777777"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2106FC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三层 / Three-Layer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9C58C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Global Core → Region → Local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8072C2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欧洲/亚太/美洲有独立区域管理职能且需 SAP 体现</w:t>
            </w:r>
          </w:p>
        </w:tc>
      </w:tr>
    </w:tbl>
    <w:p w14:paraId="5ED504DD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2D287438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TA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TA</w:t>
      </w:r>
    </w:p>
    <w:p w14:paraId="03FF4B55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全球模板架构层数决策（2层 vs 3层）</w:t>
      </w:r>
    </w:p>
    <w:p w14:paraId="73F9BE30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Template Architecture: Two Layers vs Three Layers</w:t>
      </w:r>
    </w:p>
    <w:p w14:paraId="4F022E20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21B050AD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EP 海外集团是否存在明确的区域管理结构（如欧洲总部负责欧洲各国）？这种管理关系是否需要在 SAP 中体现为独立的配置层？</w:t>
      </w:r>
    </w:p>
    <w:p w14:paraId="0413C887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Does EP's overseas group have a clear regional management structure? Does this need to be reflected as a distinct configuration layer in SAP?</w:t>
      </w:r>
    </w:p>
    <w:p w14:paraId="0600A80E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欧洲三法人之间的产品目录、价格政策、年度计划，是由各法人独立制定，还是有统一的欧洲层管理？</w:t>
      </w:r>
    </w:p>
    <w:p w14:paraId="623BDFB9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the product catalogue, pricing policy, and annual plans managed independently per entity, or governed at a unified European level?</w:t>
      </w:r>
    </w:p>
    <w:p w14:paraId="2E02B6B7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Wave 2 Rollout 时，新法人是直接对照全球核心模板进行 Fit-Gap，还是先对照区域模板？</w:t>
      </w:r>
    </w:p>
    <w:p w14:paraId="392863A5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When onboarding a Wave 2 entity, does it Fit-Gap directly against the Global Core template, or against a regional template?</w:t>
      </w:r>
    </w:p>
    <w:p w14:paraId="5D8390A0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是否有某些配置（如区域年度计划、产品目录）明确需要在区域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层统一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管理，而不是全球层或各国层？</w:t>
      </w:r>
    </w:p>
    <w:p w14:paraId="1B50223E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there specific configurations that clearly need regional-level governance, distinct from both global and country levels?</w:t>
      </w:r>
    </w:p>
    <w:p w14:paraId="6C3E6F60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3243A153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确定模板层数（2层或3层）；若采用3层则定义区域划分方式和区域层的具体职责范围</w:t>
      </w:r>
    </w:p>
    <w:p w14:paraId="6790B2E9" w14:textId="77777777" w:rsidR="004A612E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template layer count (2 or 3); if 3-layer, define regional groupings and the specific scope of the regional layer.</w:t>
      </w:r>
    </w:p>
    <w:p w14:paraId="77D69C12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/ Actual Results]</w:t>
      </w:r>
    </w:p>
    <w:p w14:paraId="7F2E4629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2D469B31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采用三层架构（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Growing Core System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— Global Core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Region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Local</w:t>
      </w:r>
    </w:p>
    <w:p w14:paraId="08BC69DE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Global Core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140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SD/MM/FI/CO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基础流程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+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公司间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+ QM +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主数据，所有法人强制</w:t>
      </w:r>
    </w:p>
    <w:p w14:paraId="3F360C91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European Variant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42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CLM&amp;RAR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IFRS 15/16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）、本地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GAAP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FRS 102/HGB/BGAAP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）、银行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税务接口、服务合同</w:t>
      </w:r>
    </w:p>
    <w:p w14:paraId="178CE2E1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Thailand Variant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34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PP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离散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重复制造、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MTO+MTS+VC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、看板、泰国质检、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BOI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规</w:t>
      </w:r>
      <w:proofErr w:type="gramEnd"/>
    </w:p>
    <w:p w14:paraId="12E8A12A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Wave 2 Variant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4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）：基础流程适配，按区域继承对应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Layer 2</w:t>
      </w:r>
    </w:p>
    <w:p w14:paraId="0061B498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Adopt a three-tier architecture (Growing Core System): Global Core → Region → Local</w:t>
      </w:r>
    </w:p>
    <w:p w14:paraId="3F59E118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Global Core (approx. 140 Scope Items): Standard SD/MM/FI/CO end-to-end processes, inter-company business, QM and master data; mandatory for all legal entities.</w:t>
      </w:r>
    </w:p>
    <w:p w14:paraId="761D2032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European Variant (approx. 42 Items): CLM &amp; RAR (IFRS 15 / IFRS 16), local GAAP compliance (FRS 102 / 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HGB / Belgian GAAP), bank &amp; tax interfaces, service contract management.</w:t>
      </w:r>
    </w:p>
    <w:p w14:paraId="56691B85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Thailand Variant (approx. 34 Items): Discrete &amp; repetitive manufacturing in PP,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MTO+MTS+variant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configuration, Kanban, Thailand-specific quality inspection, BOI regulatory compliance.</w:t>
      </w:r>
    </w:p>
    <w:p w14:paraId="195192D0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Wave 2 Variant (approx. 4 Items): Standard process adjustments, inheriting the corresponding Layer 2 configuration by region.</w:t>
      </w:r>
    </w:p>
    <w:p w14:paraId="352C729B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2.2  三层框架内容设计（基准方案）</w:t>
      </w:r>
    </w:p>
    <w:p w14:paraId="0535759C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2.2  Three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-Layer Framework Content Design (Baseline)</w:t>
      </w:r>
    </w:p>
    <w:p w14:paraId="6EED9838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以下为基准建议方案，以三层结构为假设前提（欧洲作为典型区域层示例）。最终确认待 TA 专题讨论后调整。</w:t>
      </w:r>
    </w:p>
    <w:p w14:paraId="2BF57F2D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The following is the baseline proposal, assuming a three-layer structure. Final confirmation pending Workshop TA.</w:t>
      </w:r>
    </w:p>
    <w:p w14:paraId="041CAB4E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p w14:paraId="4067D21E" w14:textId="2AFB85FD" w:rsidR="005F5566" w:rsidRPr="000F6CA3" w:rsidRDefault="00AE3AAD">
      <w:pPr>
        <w:spacing w:before="10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noProof/>
        </w:rPr>
        <w:drawing>
          <wp:inline distT="0" distB="0" distL="0" distR="0" wp14:anchorId="0E4FF535" wp14:editId="2FEB9B8E">
            <wp:extent cx="6188710" cy="3861435"/>
            <wp:effectExtent l="0" t="0" r="2540" b="5715"/>
            <wp:docPr id="1305546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546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86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F11FD" w14:textId="77777777" w:rsidR="005F5566" w:rsidRPr="000F6CA3" w:rsidRDefault="005F5566">
      <w:pPr>
        <w:spacing w:before="10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4"/>
        <w:gridCol w:w="3411"/>
      </w:tblGrid>
      <w:tr w:rsidR="004A612E" w:rsidRPr="000F6CA3" w14:paraId="2A57F88E" w14:textId="77777777">
        <w:trPr>
          <w:tblHeader/>
        </w:trPr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AE48D8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第一层：集团核心层（Global Core）— 总部主导，所有法人强制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1644BF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  <w:tr w:rsidR="004A612E" w:rsidRPr="000F6CA3" w14:paraId="7D792F2F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BE716A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统一集团科目表 / Unified Group Chart of Accounts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B5D184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 / Mandatory for all entities</w:t>
            </w:r>
          </w:p>
        </w:tc>
      </w:tr>
      <w:tr w:rsidR="004A612E" w:rsidRPr="000F6CA3" w14:paraId="2C54E654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D1424A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全球唯一控制区域 / Single global Controlling Area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8CEB07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 / Mandatory for all entities</w:t>
            </w:r>
          </w:p>
        </w:tc>
      </w:tr>
      <w:tr w:rsidR="004A612E" w:rsidRPr="000F6CA3" w14:paraId="60FB2B90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014EC5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物料编码规则（TC-PLM →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→ SAP 对齐）/ Material coding 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rules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BCD9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 xml:space="preserve">所有法人强制 / Mandatory for all 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entities</w:t>
            </w:r>
          </w:p>
        </w:tc>
      </w:tr>
      <w:tr w:rsidR="004A612E" w:rsidRPr="000F6CA3" w14:paraId="089189B5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C31AB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Vehicle 销售核心流程（O2C）/ Core vehicle sales process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DE4AB6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 / Mandatory for all entities</w:t>
            </w:r>
          </w:p>
        </w:tc>
      </w:tr>
      <w:tr w:rsidR="004A612E" w:rsidRPr="000F6CA3" w14:paraId="1D67142E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25CAA1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售后服务流程框架 / After-sales service framework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7F5025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 / Mandatory for all entities</w:t>
            </w:r>
          </w:p>
        </w:tc>
      </w:tr>
      <w:tr w:rsidR="004A612E" w:rsidRPr="000F6CA3" w14:paraId="5F0C6B5B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67DDD0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租赁业务流程框架（出租方）/ Lease framework (lessor)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5948DA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欧洲+泰国 / Europe + Thailand</w:t>
            </w:r>
          </w:p>
        </w:tc>
      </w:tr>
      <w:tr w:rsidR="004A612E" w:rsidRPr="000F6CA3" w14:paraId="1298ED91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7F7AC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集团内采购（跨公司 PO）/ Intercompany procurement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95A2F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 / Mandatory for all entities</w:t>
            </w:r>
          </w:p>
        </w:tc>
      </w:tr>
      <w:tr w:rsidR="004A612E" w:rsidRPr="000F6CA3" w14:paraId="34413ECB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FDE8A6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IFRS 主账（强制）/ IFRS primary ledger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6F4F4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 / Mandatory for all entities</w:t>
            </w:r>
          </w:p>
        </w:tc>
      </w:tr>
      <w:tr w:rsidR="004A612E" w:rsidRPr="000F6CA3" w14:paraId="664EF516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12D01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集团合并结构与消除规则 / Consolidation &amp; elimination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AC5836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 / Mandatory for all entities</w:t>
            </w:r>
          </w:p>
        </w:tc>
      </w:tr>
      <w:tr w:rsidR="004A612E" w:rsidRPr="000F6CA3" w14:paraId="78304555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E1D31B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VIN/序列号全生命周期管理 / VIN lifecycle management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108584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 法人 / Vehicle entities only</w:t>
            </w:r>
          </w:p>
        </w:tc>
      </w:tr>
      <w:tr w:rsidR="004A612E" w:rsidRPr="000F6CA3" w14:paraId="05E149A7" w14:textId="77777777"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EE0B30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集团计划框架（结构·审批流·汇报格式）/ Group planning framework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D411C2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总部定义 / HQ-defined</w:t>
            </w:r>
          </w:p>
        </w:tc>
      </w:tr>
    </w:tbl>
    <w:p w14:paraId="2ED34477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3"/>
        <w:gridCol w:w="3508"/>
        <w:gridCol w:w="3313"/>
      </w:tblGrid>
      <w:tr w:rsidR="004A612E" w:rsidRPr="000F6CA3" w14:paraId="1EEE7A2E" w14:textId="77777777">
        <w:trPr>
          <w:tblHeader/>
        </w:trPr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9F656E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第二层：区域变式层（Region / Variant）— 区域主导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71D02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欧洲示例 / Europe Example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B4B9DB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说明</w:t>
            </w:r>
          </w:p>
        </w:tc>
      </w:tr>
      <w:tr w:rsidR="004A612E" w:rsidRPr="000F6CA3" w14:paraId="58BA95E9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DD2049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区域年度计划 / Regional Annual Plan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D05D79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欧洲三法人年度销售/成本计划 / Annual sales/cost plan for 3 EU entities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42C761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在集团框架内，欧洲区域自主制定 / EU region self-governs within group framework</w:t>
            </w:r>
          </w:p>
        </w:tc>
      </w:tr>
      <w:tr w:rsidR="004A612E" w:rsidRPr="000F6CA3" w14:paraId="30FAF847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915F1C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产品目录管理 / Product Catalogue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9E9028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 vehicle 型号、配件目录、定价 / EU vehicle models, parts catalogue, pricing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121D4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区域产品决策 / Regional product decisions</w:t>
            </w:r>
          </w:p>
        </w:tc>
      </w:tr>
      <w:tr w:rsidR="004A612E" w:rsidRPr="000F6CA3" w14:paraId="0A980BF8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713857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区域合并报表 / Sub-Consolidation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2F3557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欧洲三法人子合并（先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消除再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并入集团）/ Three EU entities sub-consolidated (ICs eliminated first)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224AB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欧洲子集团 IFRS 合并 / European sub-group IFRS consolidation</w:t>
            </w:r>
          </w:p>
        </w:tc>
      </w:tr>
      <w:tr w:rsidR="004A612E" w:rsidRPr="000F6CA3" w14:paraId="077E8A4F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60FEE4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租赁合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规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Lease Compliance (CLM &amp; RAR)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C34003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IFRS 16 出租方处理 / IFRS 16 lessor accounting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1F823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欧洲适用 / Europe applicable</w:t>
            </w:r>
          </w:p>
        </w:tc>
      </w:tr>
      <w:tr w:rsidR="004A612E" w:rsidRPr="000F6CA3" w14:paraId="1BC1BD3D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C8CAAF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欧盟增值税 &amp; Intrastat / EU VAT &amp; Intrastat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880E1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欧盟境内贸易申报 / EU intra-community trade reporting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9156F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德国·比利时适用 / Germany &amp; Belgium</w:t>
            </w:r>
          </w:p>
        </w:tc>
      </w:tr>
      <w:tr w:rsidR="004A612E" w:rsidRPr="000F6CA3" w14:paraId="35272112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85848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本地 GAAP 分类账 / Local GAAP Ledger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3A382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FRS 102 · HGB · BGAAP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F89665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三国各异 / Different per country</w:t>
            </w:r>
          </w:p>
        </w:tc>
      </w:tr>
      <w:tr w:rsidR="004A612E" w:rsidRPr="000F6CA3" w14:paraId="2E11ADAB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92C7BB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制造（PP 模块）/ Manufacturing PP</w:t>
            </w:r>
          </w:p>
        </w:tc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93F77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泰国专属，欧洲不适用 / Thailand only; N/A in Europe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988BEF0" w14:textId="77777777" w:rsidR="004A612E" w:rsidRPr="000F6CA3" w:rsidRDefault="004A612E">
            <w:pPr>
              <w:rPr>
                <w:rFonts w:ascii="微软雅黑" w:eastAsia="微软雅黑" w:hAnsi="微软雅黑"/>
              </w:rPr>
            </w:pPr>
          </w:p>
        </w:tc>
      </w:tr>
    </w:tbl>
    <w:p w14:paraId="7740409A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2"/>
        <w:gridCol w:w="4483"/>
      </w:tblGrid>
      <w:tr w:rsidR="004A612E" w:rsidRPr="000F6CA3" w14:paraId="2BFB28AD" w14:textId="77777777">
        <w:trPr>
          <w:tblHeader/>
        </w:trPr>
        <w:tc>
          <w:tcPr>
            <w:tcW w:w="526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FB38B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第三层：本地适配层（Local Layer）— 各法人自行维护</w:t>
            </w:r>
          </w:p>
        </w:tc>
        <w:tc>
          <w:tcPr>
            <w:tcW w:w="448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BBF6E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示例 / Example</w:t>
            </w:r>
          </w:p>
        </w:tc>
      </w:tr>
      <w:tr w:rsidR="004A612E" w:rsidRPr="000F6CA3" w14:paraId="756243FF" w14:textId="77777777">
        <w:tc>
          <w:tcPr>
            <w:tcW w:w="526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D542FE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本地语言UI与发票/交货单格式 / Local Language UI &amp; Document Formats</w:t>
            </w:r>
          </w:p>
        </w:tc>
        <w:tc>
          <w:tcPr>
            <w:tcW w:w="448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1BE1CC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英语 / 德语 / 法语 / English / German / French</w:t>
            </w:r>
          </w:p>
        </w:tc>
      </w:tr>
      <w:tr w:rsidR="004A612E" w:rsidRPr="000F6CA3" w14:paraId="21171BB2" w14:textId="77777777">
        <w:tc>
          <w:tcPr>
            <w:tcW w:w="526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5D781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本地银行连接 / Local bank connectivity</w:t>
            </w:r>
          </w:p>
        </w:tc>
        <w:tc>
          <w:tcPr>
            <w:tcW w:w="448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797AEB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SEPA · BACS · Faster Payments</w:t>
            </w:r>
          </w:p>
        </w:tc>
      </w:tr>
      <w:tr w:rsidR="004A612E" w:rsidRPr="000F6CA3" w14:paraId="4362187C" w14:textId="77777777">
        <w:tc>
          <w:tcPr>
            <w:tcW w:w="526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E8E346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本地税务申报直连 / Local tax filing</w:t>
            </w:r>
          </w:p>
        </w:tc>
        <w:tc>
          <w:tcPr>
            <w:tcW w:w="448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7C80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ELSTER ·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Intervat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· MTD · ATO</w:t>
            </w:r>
          </w:p>
        </w:tc>
      </w:tr>
      <w:tr w:rsidR="004A612E" w:rsidRPr="000F6CA3" w14:paraId="3DC220FF" w14:textId="77777777">
        <w:tc>
          <w:tcPr>
            <w:tcW w:w="526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552358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仓库本地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结构 / Local Warehouse Structure</w:t>
            </w:r>
          </w:p>
        </w:tc>
        <w:tc>
          <w:tcPr>
            <w:tcW w:w="448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DDB366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各法人仓库编码 / Warehouse codes per entity</w:t>
            </w:r>
          </w:p>
        </w:tc>
      </w:tr>
    </w:tbl>
    <w:p w14:paraId="6C48575E" w14:textId="77777777" w:rsidR="004A612E" w:rsidRPr="000F6CA3" w:rsidRDefault="008622BD">
      <w:pPr>
        <w:pageBreakBefore/>
        <w:shd w:val="clear" w:color="auto" w:fill="1F3864"/>
        <w:spacing w:before="20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lastRenderedPageBreak/>
        <w:t xml:space="preserve">3.  </w:t>
      </w:r>
      <w:proofErr w:type="gramStart"/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t>主数据</w:t>
      </w:r>
      <w:proofErr w:type="gramEnd"/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t>设计</w:t>
      </w:r>
    </w:p>
    <w:p w14:paraId="2E4C9F38" w14:textId="77777777" w:rsidR="004A612E" w:rsidRPr="000F6CA3" w:rsidRDefault="008622BD">
      <w:pPr>
        <w:shd w:val="clear" w:color="auto" w:fill="1F3864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>3.  Master Data Design</w:t>
      </w:r>
    </w:p>
    <w:p w14:paraId="4C84FABD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sz w:val="21"/>
          <w:szCs w:val="21"/>
        </w:rPr>
        <w:t>主数据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是 SAP 系统的基础骨架，蓝图阶段锁定的标准在 CORE 构建阶段不允许反复修改。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主数据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治理决策的质量，直接决定项目上线后的系统运行质量和集团管控能力。</w:t>
      </w:r>
    </w:p>
    <w:p w14:paraId="249404DF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Master data is the structural backbone of SAP. Standards locked in Blueprint cannot be repeatedly revised during CORE build.</w:t>
      </w:r>
    </w:p>
    <w:p w14:paraId="5D8B9B2D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 xml:space="preserve">3.1  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物料主数据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设计哲学</w:t>
      </w:r>
    </w:p>
    <w:p w14:paraId="4FCD0814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3.1  Material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Master Design Philosophy</w:t>
      </w:r>
    </w:p>
    <w:p w14:paraId="07BBD557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在开始任何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物料主数据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的技术设计之前，有一个根本性的业务定位问题需要与管理层达成共识，这将决定整个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物料主数据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体系的设计方向。</w:t>
      </w:r>
    </w:p>
    <w:p w14:paraId="4BF41790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Before beginning any technical design of material master data, a fundamental business positioning question must be agreed with leadership.</w:t>
      </w:r>
    </w:p>
    <w:p w14:paraId="6E38C88D" w14:textId="77777777" w:rsidR="004A612E" w:rsidRPr="000F6CA3" w:rsidRDefault="004A612E">
      <w:pPr>
        <w:spacing w:before="80" w:after="60"/>
        <w:rPr>
          <w:rFonts w:ascii="微软雅黑" w:eastAsia="微软雅黑" w:hAnsi="微软雅黑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4"/>
        <w:gridCol w:w="2436"/>
        <w:gridCol w:w="5444"/>
      </w:tblGrid>
      <w:tr w:rsidR="00BC2C43" w:rsidRPr="000F6CA3" w14:paraId="7E8F5B43" w14:textId="77777777" w:rsidTr="00BC2C43">
        <w:trPr>
          <w:tblHeader/>
        </w:trPr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372AFE1" w14:textId="77777777" w:rsidR="00BC2C43" w:rsidRPr="000F6CA3" w:rsidRDefault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路线 / Route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1D1F885" w14:textId="77777777" w:rsidR="00BC2C43" w:rsidRPr="000F6CA3" w:rsidRDefault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定位 / Positioning</w:t>
            </w:r>
          </w:p>
        </w:tc>
        <w:tc>
          <w:tcPr>
            <w:tcW w:w="54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F37DF7B" w14:textId="08407E94" w:rsidR="00BC2C43" w:rsidRPr="000F6CA3" w:rsidRDefault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S</w:t>
            </w:r>
            <w:r w:rsidRPr="000F6CA3">
              <w:rPr>
                <w:rFonts w:ascii="微软雅黑" w:eastAsia="微软雅黑" w:hAnsi="微软雅黑" w:hint="eastAsia"/>
                <w:b/>
                <w:bCs/>
                <w:color w:val="FFFFFF"/>
                <w:sz w:val="19"/>
                <w:szCs w:val="19"/>
              </w:rPr>
              <w:t>tatement</w:t>
            </w:r>
          </w:p>
        </w:tc>
      </w:tr>
      <w:tr w:rsidR="00BC2C43" w:rsidRPr="000F6CA3" w14:paraId="4376E453" w14:textId="77777777" w:rsidTr="00BC2C43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AD0A8E" w14:textId="77777777" w:rsidR="00BC2C43" w:rsidRPr="000F6CA3" w:rsidRDefault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路线 A：制造主导 Manufacturing-Centric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57AD51B" w14:textId="66A3F1B4" w:rsidR="00BC2C43" w:rsidRPr="000F6CA3" w:rsidRDefault="00BC2C43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ERP 是权威来源数据一致性强，集团合并对账简单</w:t>
            </w:r>
          </w:p>
        </w:tc>
        <w:tc>
          <w:tcPr>
            <w:tcW w:w="54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EF8643" w14:textId="77777777" w:rsidR="00BC2C43" w:rsidRPr="000F6CA3" w:rsidRDefault="00BC2C43" w:rsidP="00BC2C43">
            <w:pPr>
              <w:rPr>
                <w:rFonts w:ascii="微软雅黑" w:eastAsia="微软雅黑" w:hAnsi="微软雅黑"/>
                <w:sz w:val="19"/>
                <w:szCs w:val="19"/>
              </w:rPr>
            </w:pP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ERP is an authoritative solution with high data consistency, enabling easy consolidated reconciliation for enterprise groups.</w:t>
            </w:r>
          </w:p>
          <w:p w14:paraId="044E5FC1" w14:textId="6BFEA369" w:rsidR="00BC2C43" w:rsidRPr="000F6CA3" w:rsidRDefault="00BC2C43" w:rsidP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Overseas sales flexibility is restricted by production scheduling pace.</w:t>
            </w:r>
          </w:p>
        </w:tc>
      </w:tr>
      <w:tr w:rsidR="00BC2C43" w:rsidRPr="000F6CA3" w14:paraId="74D5FC92" w14:textId="77777777" w:rsidTr="00BC2C43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322148D" w14:textId="77777777" w:rsidR="00BC2C43" w:rsidRPr="000F6CA3" w:rsidRDefault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路线 B：销售主导 Sales-Centric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7B3B3E" w14:textId="5C12902E" w:rsidR="00BC2C43" w:rsidRPr="000F6CA3" w:rsidRDefault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海外销售需求是第一线，以市场定义产品结构</w:t>
            </w:r>
            <w:r w:rsidRPr="000F6CA3">
              <w:rPr>
                <w:rFonts w:ascii="微软雅黑" w:eastAsia="微软雅黑" w:hAnsi="微软雅黑" w:cs="宋体" w:hint="eastAsia"/>
                <w:sz w:val="19"/>
                <w:szCs w:val="19"/>
              </w:rPr>
              <w:t>。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t>更贴近市场，销售灵活性高</w:t>
            </w:r>
          </w:p>
        </w:tc>
        <w:tc>
          <w:tcPr>
            <w:tcW w:w="54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CB91D9" w14:textId="77777777" w:rsidR="00BC2C43" w:rsidRPr="000F6CA3" w:rsidRDefault="00BC2C43" w:rsidP="00BC2C43">
            <w:pPr>
              <w:rPr>
                <w:rFonts w:ascii="微软雅黑" w:eastAsia="微软雅黑" w:hAnsi="微软雅黑"/>
                <w:sz w:val="19"/>
                <w:szCs w:val="19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Frontline overseas sales demands define product structures based on market needs.</w:t>
            </w:r>
          </w:p>
          <w:p w14:paraId="4B9C8114" w14:textId="7AA72418" w:rsidR="00BC2C43" w:rsidRPr="000F6CA3" w:rsidRDefault="00BC2C43" w:rsidP="00BC2C43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This model features closer market alignment and higher sales flexibility, yet it requires additional mapping and synchronization mechanisms, raising overall integration complexity.</w:t>
            </w:r>
          </w:p>
        </w:tc>
      </w:tr>
    </w:tbl>
    <w:p w14:paraId="504752F1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5B45C296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T01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T01</w:t>
      </w:r>
    </w:p>
    <w:p w14:paraId="1E46E8EF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物料主数据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设计哲学（制造主导 vs 销售主导）</w:t>
      </w:r>
    </w:p>
    <w:p w14:paraId="2162D6A4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Material Master Design Philosophy</w:t>
      </w:r>
    </w:p>
    <w:p w14:paraId="67D125CC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5DA3E33E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EP 集团的战略定位：海外销售是独立业务单元（有定价权、产品选型权），还是国内制造的销售延伸？</w:t>
      </w:r>
    </w:p>
    <w:p w14:paraId="73519D15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EP's strategic positioning: Are overseas sales an independent business unit, or an extension of domestic manufacturing sales?</w:t>
      </w:r>
    </w:p>
    <w:p w14:paraId="1D042D7C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欧洲是否曾经因为国内制造端的物料结构而无法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灵活响应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某个客户需求？有没有具体案例？</w:t>
      </w:r>
    </w:p>
    <w:p w14:paraId="4451B57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Has Europe ever been unable to respond flexibly to a customer requirement because of the domestic material structure? Any specific examples?</w:t>
      </w:r>
    </w:p>
    <w:p w14:paraId="0DAB00F4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欧洲未来是否计划引入本地独家产品（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非鼎捷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生产）？如果有，物料编码如何管理？</w:t>
      </w:r>
    </w:p>
    <w:p w14:paraId="7450540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Does Europe plan to introduce locally exclusive products (not manufactured by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)? If so, how would material codes be managed?</w:t>
      </w:r>
    </w:p>
    <w:p w14:paraId="48B36927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从集团合并和财务对账的角度，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鼎捷团队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和财务团队倾向于哪种路线？</w:t>
      </w:r>
    </w:p>
    <w:p w14:paraId="25D5DF67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From a consolidation and reconciliation perspective, which route do the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team and finance team prefer?</w:t>
      </w:r>
    </w:p>
    <w:p w14:paraId="18E82AEB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1DC32B33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物料主数据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的设计路线（A 或 B），作为所有后续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物料主数据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和 BOM 设计的基础指导原则</w:t>
      </w:r>
    </w:p>
    <w:p w14:paraId="742FC05B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material master design route (A or B) as the foundational principle for all subsequent material and BOM design decisions.</w:t>
      </w:r>
    </w:p>
    <w:p w14:paraId="3429A9E0" w14:textId="6A3451B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2ADEB03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7FB3A7E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方案对比已完成，倾向制造主导，但正式决策未最终签字</w:t>
      </w:r>
    </w:p>
    <w:p w14:paraId="07040044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制造主导：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TC-PLM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（只读接收），数据一致性高</w:t>
      </w:r>
    </w:p>
    <w:p w14:paraId="18B331A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销售主导：海外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可自行创建编码，双向同步，灵活性高</w:t>
      </w:r>
    </w:p>
    <w:p w14:paraId="3774BC5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物料号统一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PM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端（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TC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系统）生成；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80%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常用配置设置默认值</w:t>
      </w:r>
    </w:p>
    <w:p w14:paraId="129EC352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(3)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相关性规则由国内团队维护；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(4)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价格以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工厂结算价为基础</w:t>
      </w:r>
    </w:p>
    <w:p w14:paraId="121B577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海外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独立号段分配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A/B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最终选择需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BBP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确认</w:t>
      </w:r>
    </w:p>
    <w:p w14:paraId="4121D49C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Solution comparison has been completed. The manufacturing-led option is preferred, though formal decision signatures are pending.</w:t>
      </w:r>
    </w:p>
    <w:p w14:paraId="49E64B19" w14:textId="77777777" w:rsidR="004E6C06" w:rsidRPr="000F6CA3" w:rsidRDefault="004E6C06" w:rsidP="004E6C06">
      <w:pPr>
        <w:numPr>
          <w:ilvl w:val="0"/>
          <w:numId w:val="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Option A (Manufacturing-led): TC-PLM → DIGIWIN → SAP (read-only data ingestion), delivering high data consistency.</w:t>
      </w:r>
    </w:p>
    <w:p w14:paraId="22DBE389" w14:textId="77777777" w:rsidR="004E6C06" w:rsidRPr="000F6CA3" w:rsidRDefault="004E6C06" w:rsidP="004E6C06">
      <w:pPr>
        <w:numPr>
          <w:ilvl w:val="0"/>
          <w:numId w:val="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Option B (Sales-led): Overseas SAP allowed to create material codes independently with bi-directional data sync, offering higher flexibility.</w:t>
      </w:r>
    </w:p>
    <w:p w14:paraId="68B4D65C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Confirmed agreements:</w:t>
      </w:r>
    </w:p>
    <w:p w14:paraId="7C906E38" w14:textId="77777777" w:rsidR="004E6C06" w:rsidRPr="000F6CA3" w:rsidRDefault="004E6C06" w:rsidP="004E6C06">
      <w:pPr>
        <w:numPr>
          <w:ilvl w:val="0"/>
          <w:numId w:val="3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All material numbers are centrally generated in the PM module (TC System);</w:t>
      </w:r>
    </w:p>
    <w:p w14:paraId="4BE162A3" w14:textId="77777777" w:rsidR="004E6C06" w:rsidRPr="000F6CA3" w:rsidRDefault="004E6C06" w:rsidP="004E6C06">
      <w:pPr>
        <w:numPr>
          <w:ilvl w:val="0"/>
          <w:numId w:val="3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Default values pre-configured for 80% of frequent variants;</w:t>
      </w:r>
    </w:p>
    <w:p w14:paraId="2091F0A4" w14:textId="77777777" w:rsidR="004E6C06" w:rsidRPr="000F6CA3" w:rsidRDefault="004E6C06" w:rsidP="004E6C06">
      <w:pPr>
        <w:numPr>
          <w:ilvl w:val="0"/>
          <w:numId w:val="3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Dependency rules to be maintained by the China domestic team;</w:t>
      </w:r>
    </w:p>
    <w:p w14:paraId="19C98CDC" w14:textId="77777777" w:rsidR="004E6C06" w:rsidRPr="000F6CA3" w:rsidRDefault="004E6C06" w:rsidP="004E6C06">
      <w:pPr>
        <w:numPr>
          <w:ilvl w:val="0"/>
          <w:numId w:val="3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Pricing based on plant transfer prices stored in SAP.</w:t>
      </w:r>
    </w:p>
    <w:p w14:paraId="4564BB0D" w14:textId="77777777" w:rsidR="004E6C06" w:rsidRPr="000F6CA3" w:rsidRDefault="004E6C06" w:rsidP="004E6C0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items to be confirmed:</w:t>
      </w:r>
    </w:p>
    <w:p w14:paraId="4468A9E1" w14:textId="77777777" w:rsidR="004E6C06" w:rsidRPr="000F6CA3" w:rsidRDefault="004E6C06" w:rsidP="004E6C06">
      <w:pPr>
        <w:numPr>
          <w:ilvl w:val="0"/>
          <w:numId w:val="4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Allocation of standalone number ranges for overseas entities;</w:t>
      </w:r>
    </w:p>
    <w:p w14:paraId="7E49F380" w14:textId="77777777" w:rsidR="004E6C06" w:rsidRPr="000F6CA3" w:rsidRDefault="004E6C06" w:rsidP="004E6C06">
      <w:pPr>
        <w:numPr>
          <w:ilvl w:val="0"/>
          <w:numId w:val="4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Final selection between Option A and Option B subject to BBP approval.</w:t>
      </w:r>
    </w:p>
    <w:p w14:paraId="403ADD0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635D1559" w14:textId="3DF6CD9D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0508DEA9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 xml:space="preserve">3.2  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物料主数据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标准与 TC-PLM 同步</w:t>
      </w:r>
    </w:p>
    <w:p w14:paraId="4052BF61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3.2  Material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Master Standards &amp; TC-PLM Sync</w:t>
      </w:r>
    </w:p>
    <w:p w14:paraId="4184B8BE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权威来源链：TC-PLM（工程数据）→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 xml:space="preserve"> ERP（生产主数据）→ SAP（贸易主数据）。SAP 在此基础上补充销售视图、采购视图和财务视图。</w:t>
      </w:r>
    </w:p>
    <w:p w14:paraId="1BB015F6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Material master authority chain: TC-PLM (engineering) →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ERP (manufacturing master) → SAP (trade master). SAP adds sales, purchasing, and accounting views.</w:t>
      </w:r>
    </w:p>
    <w:p w14:paraId="4D47360A" w14:textId="77777777" w:rsidR="004A612E" w:rsidRPr="000F6CA3" w:rsidRDefault="004A612E">
      <w:pPr>
        <w:spacing w:before="80" w:after="60"/>
        <w:rPr>
          <w:rFonts w:ascii="微软雅黑" w:eastAsia="微软雅黑" w:hAnsi="微软雅黑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3"/>
        <w:gridCol w:w="1754"/>
        <w:gridCol w:w="1559"/>
        <w:gridCol w:w="3898"/>
      </w:tblGrid>
      <w:tr w:rsidR="004A612E" w:rsidRPr="000F6CA3" w14:paraId="400E5CBC" w14:textId="77777777">
        <w:trPr>
          <w:tblHeader/>
        </w:trPr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FF0F5E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物料类型 / Material Type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16515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SAP 物料类 / Mat. Type</w:t>
            </w:r>
          </w:p>
        </w:tc>
        <w:tc>
          <w:tcPr>
            <w:tcW w:w="155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53B802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序列号/VIN / Serial#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B104B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说明 / Notes</w:t>
            </w:r>
          </w:p>
        </w:tc>
      </w:tr>
      <w:tr w:rsidR="004A612E" w:rsidRPr="000F6CA3" w14:paraId="3A14B512" w14:textId="77777777"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086EF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Vehicle（特种车辆）/ Forklift Vehicle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896BFD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FERT</w:t>
            </w:r>
          </w:p>
        </w:tc>
        <w:tc>
          <w:tcPr>
            <w:tcW w:w="155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A49A1F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强制 / Mandatory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5D6BCC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Primary sales item / 主要销售对象</w:t>
            </w:r>
          </w:p>
        </w:tc>
      </w:tr>
      <w:tr w:rsidR="004A612E" w:rsidRPr="000F6CA3" w14:paraId="3496BB38" w14:textId="77777777"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77355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配件 / Spare Parts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EAE456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HAWA / ERSA</w:t>
            </w:r>
          </w:p>
        </w:tc>
        <w:tc>
          <w:tcPr>
            <w:tcW w:w="155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EAA3EC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视件型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Part-dep.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4379D3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After-sales &amp; consignment / 售后、寄售</w:t>
            </w:r>
          </w:p>
        </w:tc>
      </w:tr>
      <w:tr w:rsidR="004A612E" w:rsidRPr="000F6CA3" w14:paraId="2C712A49" w14:textId="77777777"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99195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服务项目 / Services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D6D780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DIEN</w:t>
            </w:r>
          </w:p>
        </w:tc>
        <w:tc>
          <w:tcPr>
            <w:tcW w:w="155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A21CC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无 / None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535CFC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Service billing / 服务计费</w:t>
            </w:r>
          </w:p>
        </w:tc>
      </w:tr>
      <w:tr w:rsidR="004A612E" w:rsidRPr="000F6CA3" w14:paraId="66BD5161" w14:textId="77777777"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C700B7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租赁设备 / Leased Vehicle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17478A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FERT + Fixed Asset</w:t>
            </w:r>
          </w:p>
        </w:tc>
        <w:tc>
          <w:tcPr>
            <w:tcW w:w="155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C45366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强制 / VIN Mand.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4596F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Also linked to Asset module / 同时挂接资产模块</w:t>
            </w:r>
          </w:p>
        </w:tc>
      </w:tr>
      <w:tr w:rsidR="004A612E" w:rsidRPr="000F6CA3" w14:paraId="69723F42" w14:textId="77777777"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E7D36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原材料 / Raw Material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3A4DB3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ROH</w:t>
            </w:r>
          </w:p>
        </w:tc>
        <w:tc>
          <w:tcPr>
            <w:tcW w:w="155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7BE3C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无 / None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9DDB4E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Thailand only / 泰国专属</w:t>
            </w:r>
          </w:p>
        </w:tc>
      </w:tr>
    </w:tbl>
    <w:p w14:paraId="5EF1C767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7C7BA0FE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T02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T02</w:t>
      </w:r>
    </w:p>
    <w:p w14:paraId="2DDC23AA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物料主数据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标准与 TC-PLM / 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鼎捷同步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规则</w:t>
      </w:r>
    </w:p>
    <w:p w14:paraId="7151001B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Material Master Standards &amp; TC-PLM / </w:t>
      </w:r>
      <w:proofErr w:type="spellStart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Sync Rules</w:t>
      </w:r>
    </w:p>
    <w:p w14:paraId="4B7DF35C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39EDEB76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欧洲现有产品目录与 TC-PLM/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鼎捷编码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是否一一对应？存在差异时如何处理？</w:t>
      </w:r>
    </w:p>
    <w:p w14:paraId="776EDBF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Does Europe's current product catalogue map 1:1 to TC-PLM/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codes? How should discrepancies be handled?</w:t>
      </w:r>
    </w:p>
    <w:p w14:paraId="72F890BA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是否存在欧洲自采配件（非 TC-PLM/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鼎捷来源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）？这类物料如何纳入统一编码体系？</w:t>
      </w:r>
    </w:p>
    <w:p w14:paraId="44D52A3A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there locally-sourced spare parts (not from TC-PLM/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)? How should these be incorporated into the unified coding system?</w:t>
      </w:r>
    </w:p>
    <w:p w14:paraId="40C1DA3F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3. 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物料主数据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的维护责任：谁在 SAP 中新建/修改物料——欧洲 IT 还是集团统一维护？</w:t>
      </w:r>
    </w:p>
    <w:p w14:paraId="67DE814B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Material master maintenance: Who creates/modifies materials in SAP — European IT or group-level central maintenance?</w:t>
      </w:r>
    </w:p>
    <w:p w14:paraId="5E13155A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TC-PLM → SAP 的同步频率和触发方式：实时推送、每日批量，还是人工触发？</w:t>
      </w:r>
    </w:p>
    <w:p w14:paraId="1D27083F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TC-PLM → SAP sync frequency and trigger: real-time push, daily batch, or manual trigger?</w:t>
      </w:r>
    </w:p>
    <w:p w14:paraId="7D741799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69BA4A0E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确定物料编码规则、TC-PLM/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→SAP 同步方式与维护责任</w:t>
      </w:r>
    </w:p>
    <w:p w14:paraId="2AB7F67F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material coding rules, TC-PLM/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Digiwin→SAP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sync approach, and maintenance responsibility.</w:t>
      </w:r>
    </w:p>
    <w:p w14:paraId="4314EBAA" w14:textId="77777777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/ Actual Results]</w:t>
      </w:r>
    </w:p>
    <w:p w14:paraId="14A1C39C" w14:textId="77777777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1CD9F75D" w14:textId="77777777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bookmarkStart w:id="0" w:name="OLE_LINK1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权威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来源链已确认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TC-PLM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（工程数据权威源）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→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ERP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（制造主数据）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 SAP S/4HANA Cloud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（海外贸易主数据）</w:t>
      </w:r>
    </w:p>
    <w:p w14:paraId="70F36D65" w14:textId="77777777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编码规则已发布：遵循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Q/EP-ZL-3.3-SX0305A-2020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（浙江中力机械研究院标准）</w:t>
      </w:r>
    </w:p>
    <w:p w14:paraId="45B8A7E3" w14:textId="77777777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物料识别码：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1=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成品，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2=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零部件，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3=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标准件，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4=OEM/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备件，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5=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辅料，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6=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工装；备件以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4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开头</w:t>
      </w:r>
    </w:p>
    <w:p w14:paraId="580D9464" w14:textId="77777777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同步接口已定义：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I-TC1~I-TC5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TC-PLM→SAP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含特征值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/BOM/VC/VIN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+ I-D1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SAP→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</w:t>
      </w:r>
      <w:proofErr w:type="gramEnd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PO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+ I-D5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发票）</w:t>
      </w:r>
    </w:p>
    <w:p w14:paraId="1C02B3DF" w14:textId="77777777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6U2 PLM System Integration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64F BOM Management</w:t>
      </w:r>
    </w:p>
    <w:p w14:paraId="2414AB2F" w14:textId="5D1E3822" w:rsidR="00BE0D17" w:rsidRPr="000F6CA3" w:rsidRDefault="00BE0D17" w:rsidP="00BE0D17">
      <w:pPr>
        <w:pBdr>
          <w:bottom w:val="single" w:sz="6" w:space="0" w:color="2E75B6"/>
        </w:pBdr>
        <w:spacing w:before="28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海外独立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号段分配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待定；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欧洲与国内选配属性不一致映射未完成</w:t>
      </w:r>
    </w:p>
    <w:p w14:paraId="29013F0A" w14:textId="77777777" w:rsidR="00040A67" w:rsidRPr="000F6CA3" w:rsidRDefault="00040A67" w:rsidP="00040A67">
      <w:p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629125DF" w14:textId="0669EEF7" w:rsidR="00040A67" w:rsidRPr="000F6CA3" w:rsidRDefault="00040A67" w:rsidP="00040A67">
      <w:p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The authoritative data source chain has been confirmed: TC-PLM (single source of engineering data) → DIGIWIN ERP (manufacturing master data) → SAP S/4HANA Cloud (overseas trade master data).</w:t>
      </w:r>
    </w:p>
    <w:p w14:paraId="7566B985" w14:textId="77777777" w:rsidR="00040A67" w:rsidRPr="000F6CA3" w:rsidRDefault="00040A67" w:rsidP="00040A67">
      <w:pPr>
        <w:numPr>
          <w:ilvl w:val="0"/>
          <w:numId w:val="5"/>
        </w:num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Naming convention released, complying with standard Q/EP-ZL-3.3-SX0305A-2020 issued by Zhejiang EP Machinery Research Institute.</w:t>
      </w:r>
    </w:p>
    <w:p w14:paraId="00E81789" w14:textId="77777777" w:rsidR="00040A67" w:rsidRPr="000F6CA3" w:rsidRDefault="00040A67" w:rsidP="00040A67">
      <w:pPr>
        <w:numPr>
          <w:ilvl w:val="0"/>
          <w:numId w:val="5"/>
        </w:num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Material identifier classification: 1=Finished Goods, 2=Components, 3=Standard Parts, 4=OEM/Spare Parts, 5=Auxiliary Materials, 6=Tooling; all spare parts start with digit 4.</w:t>
      </w:r>
    </w:p>
    <w:p w14:paraId="62DB8BC1" w14:textId="77777777" w:rsidR="00040A67" w:rsidRPr="000F6CA3" w:rsidRDefault="00040A67" w:rsidP="00040A67">
      <w:pPr>
        <w:numPr>
          <w:ilvl w:val="0"/>
          <w:numId w:val="5"/>
        </w:num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Synchronization interfaces defined: I-TC1~I-TC5 (TC-PLM to SAP, covering characteristics, BOM, Variant Configuration &amp; VIN), I-D1 (SAP to DIGIWIN for Purchase Orders), I-D5 (DIGIWIN to SAP for Invoices).</w:t>
      </w:r>
    </w:p>
    <w:p w14:paraId="1B8D52AB" w14:textId="77777777" w:rsidR="00040A67" w:rsidRPr="000F6CA3" w:rsidRDefault="00040A67" w:rsidP="00040A67">
      <w:pPr>
        <w:numPr>
          <w:ilvl w:val="0"/>
          <w:numId w:val="5"/>
        </w:num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Items: 6U2 PLM System Integration; 64F BOM Management.</w:t>
      </w:r>
    </w:p>
    <w:p w14:paraId="4FC152A8" w14:textId="77777777" w:rsidR="00040A67" w:rsidRPr="000F6CA3" w:rsidRDefault="00040A67" w:rsidP="00040A67">
      <w:p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468CD2BE" w14:textId="77777777" w:rsidR="00040A67" w:rsidRPr="000F6CA3" w:rsidRDefault="00040A67" w:rsidP="00040A67">
      <w:pPr>
        <w:numPr>
          <w:ilvl w:val="0"/>
          <w:numId w:val="6"/>
        </w:num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Allocation of independent number ranges for overseas entities to be finalized.</w:t>
      </w:r>
    </w:p>
    <w:p w14:paraId="35CBFD97" w14:textId="7683D1C9" w:rsidR="00040A67" w:rsidRPr="000F6CA3" w:rsidRDefault="00040A67" w:rsidP="00040A67">
      <w:pPr>
        <w:numPr>
          <w:ilvl w:val="0"/>
          <w:numId w:val="6"/>
        </w:numPr>
        <w:spacing w:after="160" w:line="278" w:lineRule="auto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Mapping for inconsistent configurable attributes between Europe and China not yet completed.</w:t>
      </w:r>
    </w:p>
    <w:bookmarkEnd w:id="0"/>
    <w:p w14:paraId="2B00E725" w14:textId="59BC339B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3.3  销售 BOM vs 变式配置（VC）</w:t>
      </w:r>
    </w:p>
    <w:p w14:paraId="5CB0445E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lastRenderedPageBreak/>
        <w:t>3.3  Sales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BOM vs Variant Configuration (VC)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1"/>
        <w:gridCol w:w="2144"/>
        <w:gridCol w:w="1949"/>
        <w:gridCol w:w="2144"/>
        <w:gridCol w:w="2046"/>
      </w:tblGrid>
      <w:tr w:rsidR="004A612E" w:rsidRPr="000F6CA3" w14:paraId="2462A720" w14:textId="77777777">
        <w:trPr>
          <w:tblHeader/>
        </w:trPr>
        <w:tc>
          <w:tcPr>
            <w:tcW w:w="146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13BA06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方案 / Option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784F8C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实现方式 / Implementation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3493CE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优点 / Pros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BB2CD8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缺点 / Cons</w:t>
            </w:r>
          </w:p>
        </w:tc>
        <w:tc>
          <w:tcPr>
            <w:tcW w:w="204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5846D5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适用条件 / When to Use</w:t>
            </w:r>
          </w:p>
        </w:tc>
      </w:tr>
      <w:tr w:rsidR="004A612E" w:rsidRPr="000F6CA3" w14:paraId="48B4838C" w14:textId="77777777">
        <w:tc>
          <w:tcPr>
            <w:tcW w:w="146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7B2434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A: 标准销售 BOM / Standard Sales BOM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CCBCDA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所有配置组合预先建立为独立 BOM / All combos pre-built as individual BOMs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19DC8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实施简单 / Simple to implement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D2961F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组合爆炸，维护成本高 / Combinatorial explosion; high maintenance</w:t>
            </w:r>
          </w:p>
        </w:tc>
        <w:tc>
          <w:tcPr>
            <w:tcW w:w="204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7A0A3B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配置维度≤3-4，每维度≤3选项 / ≤3-4 dims, ≤3 options each</w:t>
            </w:r>
          </w:p>
        </w:tc>
      </w:tr>
      <w:tr w:rsidR="004A612E" w:rsidRPr="000F6CA3" w14:paraId="5811A111" w14:textId="77777777">
        <w:tc>
          <w:tcPr>
            <w:tcW w:w="146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027638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B: 变式配置 VC / Variant Config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22231C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配置逻辑管理 BOM，系统动态展开 / Config-logic-driven BOM; system expands dynamically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4DD2D5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灵活处理大量组合 / Handles large volumes flexibly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42107F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实施复杂，需 VC 专项顾问 / Complex; needs VC specialist</w:t>
            </w:r>
          </w:p>
        </w:tc>
        <w:tc>
          <w:tcPr>
            <w:tcW w:w="204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23C8D9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配置维度多，定制化比例高 / Many dims; high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customisation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rate</w:t>
            </w:r>
          </w:p>
        </w:tc>
      </w:tr>
    </w:tbl>
    <w:p w14:paraId="375CEBA2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02C87342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T03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T03</w:t>
      </w:r>
    </w:p>
    <w:p w14:paraId="5EFA5070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销售 BOM vs 变式配置（VC）选型决策</w:t>
      </w:r>
    </w:p>
    <w:p w14:paraId="43ECD200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Sales BOM vs Variant Configuration (VC) Decision</w:t>
      </w:r>
    </w:p>
    <w:p w14:paraId="6F411766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2F2B963F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欧洲客户订购 vehicle 时，可以选择哪些配置维度（如电池类型、升降高度、颜色）？每个维度有多少选项？</w:t>
      </w:r>
    </w:p>
    <w:p w14:paraId="362FC1D5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When European customers order a vehicle, which configuration dimensions can they choose? How many options per dimension?</w:t>
      </w:r>
    </w:p>
    <w:p w14:paraId="612BE523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所有配置组合的数量大致是多少？是否超过100种？这决定了 BOM 矩阵是否可行。</w:t>
      </w:r>
    </w:p>
    <w:p w14:paraId="6C026AF8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Approximately how many total configuration combinations are there? Exceeding ~100 is a strong indicator that VC is needed.</w:t>
      </w:r>
    </w:p>
    <w:p w14:paraId="33CEA494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客户定制化订单（非标配置）在欧洲的比例大约是多少？</w:t>
      </w:r>
    </w:p>
    <w:p w14:paraId="198C9E9B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What proportion of European customer orders involve non-standard configuration?</w:t>
      </w:r>
    </w:p>
    <w:p w14:paraId="42AD55CF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欧洲销售团队目前如何处理 vehicle 配置报价——是产品手册固定选项，还是逐单定制？</w:t>
      </w:r>
    </w:p>
    <w:p w14:paraId="0EC1B43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How does the European sales team currently handle vehicle configuration quotations — fixed catalogue options, or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customised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per order?</w:t>
      </w:r>
    </w:p>
    <w:p w14:paraId="382AE5BD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60BC5C00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选定 BOM 方案（标准 BOM 矩阵或 VC），确认是否需要 VC 专项顾问资源</w:t>
      </w:r>
    </w:p>
    <w:p w14:paraId="313F5800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Select BOM approach (standard BOM matrix or VC); confirm whether dedicated VC consultant resource is required.</w:t>
      </w:r>
    </w:p>
    <w:p w14:paraId="4A5A7549" w14:textId="718C5FAD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7257F51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75488A7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lastRenderedPageBreak/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Vehicle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采用可配置物料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KMAT +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变式配置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模式；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AGV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不使用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VC</w:t>
      </w:r>
    </w:p>
    <w:p w14:paraId="08085A9F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KMAT +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超级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BOM + VC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特征值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实例化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FERT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TC-PLM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维护超级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BOM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（含互斥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相关性），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执行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展开</w:t>
      </w:r>
    </w:p>
    <w:p w14:paraId="0E679613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特征值：门架高度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(T4500/T4800)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、电池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(230AH/150AH)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、属具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(Fork Positioner/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Sideshift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、轮胎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Non marking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/Solid)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、驾驶室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(Doorless/None)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等</w:t>
      </w:r>
    </w:p>
    <w:p w14:paraId="4415A703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实例化逻辑：匹配成功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SO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行项目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KMAT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FERT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；匹配失败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调用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TC-PLM API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生成新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FERT</w:t>
      </w:r>
    </w:p>
    <w:p w14:paraId="50B047B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AGV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：不启用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VC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，每个型号使用独立固定物料编码（配置维度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&lt;5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2C207A94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22T Configurable BOM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Global Core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6GU Advanced VC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（泰国叠加）；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1YT MTO with VC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（泰国）</w:t>
      </w:r>
    </w:p>
    <w:p w14:paraId="1CF6DCFC" w14:textId="77777777" w:rsidR="00A5160B" w:rsidRPr="000F6CA3" w:rsidRDefault="00A5160B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待确认：未命中匹配时的处理方案（异步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同步）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—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待内部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协商</w:t>
      </w:r>
    </w:p>
    <w:p w14:paraId="277C6362" w14:textId="689A5B7B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Vehicles adopt configurable material KMAT together with Variant Configuration (VC); VC is not applied to AGVs.</w:t>
      </w:r>
    </w:p>
    <w:p w14:paraId="69FD6131" w14:textId="77777777" w:rsidR="00040A67" w:rsidRPr="000F6CA3" w:rsidRDefault="00040A67" w:rsidP="00040A67">
      <w:pPr>
        <w:numPr>
          <w:ilvl w:val="0"/>
          <w:numId w:val="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KMAT + Super BOM + VC characteristics generate instantiated finished goods (FERT). Super BOM (including mutually exclusive and dependency rules) is maintained in TC-PLM, while VC explosion is executed in SAP.</w:t>
      </w:r>
    </w:p>
    <w:p w14:paraId="388696A7" w14:textId="77777777" w:rsidR="00040A67" w:rsidRPr="000F6CA3" w:rsidRDefault="00040A67" w:rsidP="00040A67">
      <w:pPr>
        <w:numPr>
          <w:ilvl w:val="0"/>
          <w:numId w:val="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VC characteristics include mast height (T4500/T4800), battery (230AH/150AH), attachments (Fork Positioner/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Sideshift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), tires (Non-marking/Solid), cabin (Doorless/None), etc.</w:t>
      </w:r>
    </w:p>
    <w:p w14:paraId="1E4E5631" w14:textId="77777777" w:rsidR="00040A67" w:rsidRPr="000F6CA3" w:rsidRDefault="00040A67" w:rsidP="00040A67">
      <w:pPr>
        <w:numPr>
          <w:ilvl w:val="0"/>
          <w:numId w:val="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Instantiation logic: If matching succeeds, the KMAT on sales order line item is converted to FERT. If matching fails, SAP calls TC-PLM API to create a new FERT material.</w:t>
      </w:r>
    </w:p>
    <w:p w14:paraId="3E4D6141" w14:textId="77777777" w:rsidR="00040A67" w:rsidRPr="000F6CA3" w:rsidRDefault="00040A67" w:rsidP="00040A67">
      <w:pPr>
        <w:numPr>
          <w:ilvl w:val="0"/>
          <w:numId w:val="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AGVs: VC function is deactivated; each model is assigned an independent fixed material code (with fewer than 5 configuration dimensions).</w:t>
      </w:r>
    </w:p>
    <w:p w14:paraId="3998D115" w14:textId="77777777" w:rsidR="00040A67" w:rsidRPr="000F6CA3" w:rsidRDefault="00040A67" w:rsidP="00040A67">
      <w:pPr>
        <w:numPr>
          <w:ilvl w:val="0"/>
          <w:numId w:val="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Items: 22T Configurable BOM (Global Core); 6GU Advanced VC (Thailand local layer); 1YT MTO with VC (Thailand).</w:t>
      </w:r>
    </w:p>
    <w:p w14:paraId="47D862DF" w14:textId="4BF3BB33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 Process scheme for unmatched configurations (asynchronous vs synchronous) – subject to internal alignment.</w:t>
      </w:r>
    </w:p>
    <w:p w14:paraId="35224BC2" w14:textId="458868B8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7FC1308F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3.4  VIN / 序列号管理</w:t>
      </w:r>
    </w:p>
    <w:p w14:paraId="3170CB0C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3.4  VIN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&amp; Serial Number Management</w:t>
      </w:r>
    </w:p>
    <w:p w14:paraId="4F2A50D1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每台 vehicle 在 SAP 中通过 VIN 号（=序列号）进行全生命周期追踪。建议同时启用批次管理（Batch）和独立评估类（Valuation Class），实现 VIN 级别个别计价，大幅降低定制开发需求。</w:t>
      </w:r>
    </w:p>
    <w:p w14:paraId="256B4A61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Every vehicle is tracked throughout its full lifecycle via VIN number (= serial number). Activating Batch Management and individual Valuation Classes enables VIN-level individual stock valuation, significantly reducing custom development needs.</w:t>
      </w:r>
    </w:p>
    <w:p w14:paraId="201126A9" w14:textId="77777777" w:rsidR="004A612E" w:rsidRPr="000F6CA3" w:rsidRDefault="004A612E">
      <w:pPr>
        <w:spacing w:before="8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5067"/>
      </w:tblGrid>
      <w:tr w:rsidR="004A612E" w:rsidRPr="000F6CA3" w14:paraId="18F002AC" w14:textId="77777777">
        <w:trPr>
          <w:tblHeader/>
        </w:trPr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04D67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lastRenderedPageBreak/>
              <w:t>VIN 追踪节点 / Tracking Point</w:t>
            </w:r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A39DF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SAP 动作 / SAP Action</w:t>
            </w:r>
          </w:p>
        </w:tc>
      </w:tr>
      <w:tr w:rsidR="004A612E" w:rsidRPr="000F6CA3" w14:paraId="761E487C" w14:textId="77777777"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AA3303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中国工厂分配 VIN / China factory assigns VIN</w:t>
            </w:r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17D7C8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enters system pre-record / VIN 进入系统预备档案</w:t>
            </w:r>
          </w:p>
        </w:tc>
      </w:tr>
      <w:tr w:rsidR="004A612E" w:rsidRPr="000F6CA3" w14:paraId="621FF030" w14:textId="77777777"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CFC55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跨公司发货 / IC Shipment</w:t>
            </w:r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7D2840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IC PO goods issue; in-transit stock recorded / 集团内 PO 发货，在途库存记录</w:t>
            </w:r>
          </w:p>
        </w:tc>
      </w:tr>
      <w:tr w:rsidR="004A612E" w:rsidRPr="000F6CA3" w14:paraId="26A5A0D8" w14:textId="77777777"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E4E44B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欧洲收货 GR / Europe Goods Receipt</w:t>
            </w:r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AF142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entered into serial number record / VIN 录入序列号档案</w:t>
            </w:r>
          </w:p>
        </w:tc>
      </w:tr>
      <w:tr w:rsidR="004A612E" w:rsidRPr="000F6CA3" w14:paraId="32E7E7F3" w14:textId="77777777"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B18558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库存管理 / Inventory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Mgmt</w:t>
            </w:r>
            <w:proofErr w:type="spellEnd"/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F96452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Status: In-Stock / Sold / On-Lease / In-Repair — 在库/已售/租赁中/维修中 状态追踪</w:t>
            </w:r>
          </w:p>
        </w:tc>
      </w:tr>
      <w:tr w:rsidR="004A612E" w:rsidRPr="000F6CA3" w14:paraId="11AA0E9B" w14:textId="77777777"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5BA15A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销售发货 / Delivery</w:t>
            </w:r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EDD0F8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bound to customer; warranty starts / VIN 绑定客户，质保期开始</w:t>
            </w:r>
          </w:p>
        </w:tc>
      </w:tr>
      <w:tr w:rsidR="004A612E" w:rsidRPr="000F6CA3" w14:paraId="61E6BF96" w14:textId="77777777"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3FF123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售后服务 / After-Sales</w:t>
            </w:r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B6BCEB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VIN linked to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service order / VIN 关联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工单</w:t>
            </w:r>
          </w:p>
        </w:tc>
      </w:tr>
      <w:tr w:rsidR="004A612E" w:rsidRPr="000F6CA3" w14:paraId="47F08308" w14:textId="77777777"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50CDA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租赁 / Leasing</w:t>
            </w:r>
          </w:p>
        </w:tc>
        <w:tc>
          <w:tcPr>
            <w:tcW w:w="506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EEA30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bound to lease contract + Fixed Asset / VIN 绑定租赁合同 + 固定资产</w:t>
            </w:r>
          </w:p>
        </w:tc>
      </w:tr>
    </w:tbl>
    <w:p w14:paraId="70DF94C2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4C5AC1EC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T04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T04</w:t>
      </w:r>
    </w:p>
    <w:p w14:paraId="50CE66DB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VIN / 序列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号管理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规则</w:t>
      </w:r>
    </w:p>
    <w:p w14:paraId="194CBD85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VIN &amp; Serial Number Management Rules</w:t>
      </w:r>
    </w:p>
    <w:p w14:paraId="300F689D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5A2D2BF2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VIN 号是中国工厂生产时分配，还是欧洲入库时分配？VIN 是否已出现在发货单中？</w:t>
      </w:r>
    </w:p>
    <w:p w14:paraId="11FBC5BF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Is VIN assigned at the Chinese factory during production, or by the European warehouse on receipt?</w:t>
      </w:r>
    </w:p>
    <w:p w14:paraId="02DDFA45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欧洲是否有现有的 VIN 追踪系统（Excel/旧系统）？历史 VIN 数据是否需要迁移至 SAP？</w:t>
      </w:r>
    </w:p>
    <w:p w14:paraId="18D6E04B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Does Europe have an existing VIN tracking system? Does historical VIN data need to be migrated into SAP?</w:t>
      </w:r>
    </w:p>
    <w:p w14:paraId="06674BB5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是否同意同时启用批次管理和独立评估类，实现 VIN 级别标准化个别计价？</w:t>
      </w:r>
    </w:p>
    <w:p w14:paraId="43D01A8C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Is there agreement to activate Batch Management and individual Valuation Classes for standard VIN-level individual costing?</w:t>
      </w:r>
    </w:p>
    <w:p w14:paraId="219744C1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Vehicle 退货/退换时，VIN 如何处理？原 VIN 是否继续沿用？</w:t>
      </w:r>
    </w:p>
    <w:p w14:paraId="4335561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How are VINs handled for vehicle returns or exchanges? Is the original VIN reused?</w:t>
      </w:r>
    </w:p>
    <w:p w14:paraId="70337542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01264FD4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 VIN 录入时机、历史数据迁移范围、批次管理与评估类启用决策</w:t>
      </w:r>
    </w:p>
    <w:p w14:paraId="6ACB18EB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VIN entry timing, historical data migration scope, Batch/Valuation Class activation decision.</w:t>
      </w:r>
    </w:p>
    <w:p w14:paraId="37C7E673" w14:textId="661FBE0E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66567D0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2927510B" w14:textId="7875C7F2" w:rsidR="00A5160B" w:rsidRPr="000F6CA3" w:rsidRDefault="00C2351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lastRenderedPageBreak/>
        <w:t>✅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VIN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赋码时点已确认：中国工厂生产时分配（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D3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决策），全生命周期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BLL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管理追踪</w:t>
      </w:r>
    </w:p>
    <w:p w14:paraId="2575676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VIN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长度：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10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位（叉车）；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ETS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建议从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11-12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位压缩至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10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位</w:t>
      </w:r>
    </w:p>
    <w:p w14:paraId="249FCBCA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AGV SN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：不使用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VIN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（非道路车辆），使用企业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，遵循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Q/EP-ZL-3.3-SX0305A-2020</w:t>
      </w:r>
    </w:p>
    <w:p w14:paraId="06CDA1F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追踪节点：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11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个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状态（已生产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已预留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在途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在库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改装中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已售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已交付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运行中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维修中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已报废）</w:t>
      </w:r>
    </w:p>
    <w:p w14:paraId="45A071A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Scope Item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BLL Serial Number Lifecycle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Global Core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014805C4" w14:textId="77777777" w:rsidR="00A5160B" w:rsidRPr="000F6CA3" w:rsidRDefault="00A5160B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历史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VIN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数据迁移范围；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ETS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序列号位数变更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需产线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研究院配合</w:t>
      </w:r>
    </w:p>
    <w:p w14:paraId="42E5AB29" w14:textId="1573F15B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VIN assignment timing confirmed: VINs are allocated during production at China plants (D3 decision point), with full-lifecycle tracking managed via BLL.</w:t>
      </w:r>
    </w:p>
    <w:p w14:paraId="7FE41543" w14:textId="77777777" w:rsidR="00040A67" w:rsidRPr="000F6CA3" w:rsidRDefault="00040A67" w:rsidP="00040A67">
      <w:pPr>
        <w:numPr>
          <w:ilvl w:val="0"/>
          <w:numId w:val="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VIN length: 10 digits for forklifts; ETS proposes compressing the original 11–12 digits down to 10 digits.</w:t>
      </w:r>
    </w:p>
    <w:p w14:paraId="6C10B595" w14:textId="77777777" w:rsidR="00040A67" w:rsidRPr="000F6CA3" w:rsidRDefault="00040A67" w:rsidP="00040A67">
      <w:pPr>
        <w:numPr>
          <w:ilvl w:val="0"/>
          <w:numId w:val="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AGV serial numbers: VINs are not adopted (as non-road vehicles); proprietary corporate serial numbers shall be used in compliance with standard Q/EP-ZL-3.3-SX0305A-2020.</w:t>
      </w:r>
    </w:p>
    <w:p w14:paraId="5812F3E9" w14:textId="77777777" w:rsidR="00040A67" w:rsidRPr="000F6CA3" w:rsidRDefault="00040A67" w:rsidP="00040A67">
      <w:pPr>
        <w:numPr>
          <w:ilvl w:val="0"/>
          <w:numId w:val="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Tracking status nodes: 11 lifecycle statuses (Produced → Reserved → In Transit → In Warehouse → Under Refit → Sold → Delivered → In Operation → Under Maintenance → Scrapped).</w:t>
      </w:r>
    </w:p>
    <w:p w14:paraId="6A24294E" w14:textId="77777777" w:rsidR="00040A67" w:rsidRPr="000F6CA3" w:rsidRDefault="00040A67" w:rsidP="00040A67">
      <w:pPr>
        <w:numPr>
          <w:ilvl w:val="0"/>
          <w:numId w:val="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Item: BLL Serial Number Lifecycle (Global Core).</w:t>
      </w:r>
    </w:p>
    <w:p w14:paraId="3798BDB8" w14:textId="4951D3BB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79B305B8" w14:textId="77777777" w:rsidR="00040A67" w:rsidRPr="000F6CA3" w:rsidRDefault="00040A67" w:rsidP="00040A67">
      <w:pPr>
        <w:numPr>
          <w:ilvl w:val="0"/>
          <w:numId w:val="9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Scope of historical VIN data migration;</w:t>
      </w:r>
    </w:p>
    <w:p w14:paraId="35D12C64" w14:textId="0A304BD1" w:rsidR="004A612E" w:rsidRPr="000F6CA3" w:rsidRDefault="00040A67" w:rsidP="00040A67">
      <w:pPr>
        <w:numPr>
          <w:ilvl w:val="0"/>
          <w:numId w:val="9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Adjustment of serial number digit length for ETS requires coordination with production lines and the Research Institute.</w:t>
      </w:r>
    </w:p>
    <w:p w14:paraId="34A0D0E5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3.5  业务伙伴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主数据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治理</w:t>
      </w:r>
    </w:p>
    <w:p w14:paraId="187ABAF5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3.5  Business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Partner Master Data Governance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2533"/>
        <w:gridCol w:w="2631"/>
        <w:gridCol w:w="2631"/>
      </w:tblGrid>
      <w:tr w:rsidR="004A612E" w:rsidRPr="000F6CA3" w14:paraId="07619861" w14:textId="77777777">
        <w:trPr>
          <w:tblHeader/>
        </w:trPr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76313B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路线 / Route</w:t>
            </w:r>
          </w:p>
        </w:tc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EF7E44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模式 / Model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FCD28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优点 / Pros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C2660F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挑战 / Challenges</w:t>
            </w:r>
          </w:p>
        </w:tc>
      </w:tr>
      <w:tr w:rsidR="004A612E" w:rsidRPr="000F6CA3" w14:paraId="7F240043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1F75C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A: 全球集中管理 / Global Central</w:t>
            </w:r>
          </w:p>
        </w:tc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FF5A05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集团统一维护，各法人只读或申请修改 / Group-maintained; entities read-only or request changes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15160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数据一致性高，防止重复 / High consistency; prevents duplicates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FADE0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审批流程复杂，响应速度慢 / Complex approval; slower response</w:t>
            </w:r>
          </w:p>
        </w:tc>
      </w:tr>
      <w:tr w:rsidR="004A612E" w:rsidRPr="000F6CA3" w14:paraId="5AE928B0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32B0F1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B: 区域/法人自主 / Local Autonomous</w:t>
            </w:r>
          </w:p>
        </w:tc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5EFA04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各法人独立维护本地数据 / Each entity maintains local data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4E4AE5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响应灵活，本地自主 / Flexible; local autonomy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40124B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跨法人重复数据多，360°视图难 / Many duplicates; difficult 360° view</w:t>
            </w:r>
          </w:p>
        </w:tc>
      </w:tr>
      <w:tr w:rsidR="004A612E" w:rsidRPr="000F6CA3" w14:paraId="42FDBB8C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DCABCF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C: 混合治理 / Hybrid (Recommended)</w:t>
            </w:r>
          </w:p>
        </w:tc>
        <w:tc>
          <w:tcPr>
            <w:tcW w:w="253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5C0C93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集团管理大客户，法人管理本地客户 / Group manages key accounts; entities manage local customers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FF5241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兼顾灵活性与数据质量 / Balances flexibility &amp; data quality</w:t>
            </w:r>
          </w:p>
        </w:tc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A776F8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需清晰定义'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集团级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'判断标准 / Must define 'group-level' customer criteria</w:t>
            </w:r>
          </w:p>
        </w:tc>
      </w:tr>
    </w:tbl>
    <w:p w14:paraId="1B10C43A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6D449ACB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T05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T05</w:t>
      </w:r>
    </w:p>
    <w:p w14:paraId="7BF340A6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业务伙伴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主数据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治理（全球 vs 区域 vs 混合）</w:t>
      </w:r>
    </w:p>
    <w:p w14:paraId="3E041784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Business Partner Governance (Global vs </w:t>
      </w: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>Regional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vs Hybrid)</w:t>
      </w:r>
    </w:p>
    <w:p w14:paraId="3E06FC7E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2D1149F0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是否存在同一客户跨多个欧洲法人甚至跨区域购买的情形？这类客户的数量大约是多少？</w:t>
      </w:r>
    </w:p>
    <w:p w14:paraId="0B4E3FB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there customers purchasing across multiple European entities or across regions? Approximately how many?</w:t>
      </w:r>
    </w:p>
    <w:p w14:paraId="53EE82C1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客户信用额度：由集团统一管控（跨法人信用敞口合并），还是各法人独立设置？</w:t>
      </w:r>
    </w:p>
    <w:p w14:paraId="001AFFF5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Customer credit limits: Managed centrally by the group, or set independently per entity?</w:t>
      </w:r>
    </w:p>
    <w:p w14:paraId="26DA0550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是否存在跨欧洲法人的共同供应商（如统一向某供应商采购配件）？</w:t>
      </w:r>
    </w:p>
    <w:p w14:paraId="150AA775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there common suppliers shared across European entities?</w:t>
      </w:r>
    </w:p>
    <w:p w14:paraId="54C6E9C0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欧洲现有的 CRM 或客户管理系统是什么？数据质量如何？是否有客户数据清洗的经验？</w:t>
      </w:r>
    </w:p>
    <w:p w14:paraId="6E025811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What CRM or customer management system does Europe currently use? What is data quality like?</w:t>
      </w:r>
    </w:p>
    <w:p w14:paraId="6AF984E6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016C6E29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确定业务伙伴治理模式（全球/区域/混合），客户数据迁移和清洗策略</w:t>
      </w:r>
    </w:p>
    <w:p w14:paraId="523E9758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Business Partner governance model (global/regional/hybrid); customer data migration and cleansing strategy.</w:t>
      </w:r>
    </w:p>
    <w:p w14:paraId="558A74D0" w14:textId="0C87D68D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719E35AA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796F2458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推荐混合治理模式（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D5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决策）：集团统一管理战略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全球客户；各法人独立管理本地客户</w:t>
      </w:r>
    </w:p>
    <w:p w14:paraId="61E20CDC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定期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去重审查（季度）</w:t>
      </w:r>
    </w:p>
    <w:p w14:paraId="2A57F14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三个欧洲公司对应同一客户时额度合并共享</w:t>
      </w:r>
    </w:p>
    <w:p w14:paraId="5F98354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ETS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场景：以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VAT ID/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税号唯一标识去重；中国进出口公司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FLVN00+FLVN01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作为跨公司供应商</w:t>
      </w:r>
    </w:p>
    <w:p w14:paraId="2C23B3E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详细去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重规则和数据清洗计划需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BBP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确认</w:t>
      </w:r>
    </w:p>
    <w:p w14:paraId="43B6444D" w14:textId="73F8324D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Hybrid governance model is recommended (D5 decision point): Corporate group centrally manages strategy and global customers, while each legal entity independently manages local customers.</w:t>
      </w:r>
    </w:p>
    <w:p w14:paraId="42671A5C" w14:textId="77777777" w:rsidR="00040A67" w:rsidRPr="000F6CA3" w:rsidRDefault="00040A67" w:rsidP="00040A67">
      <w:pPr>
        <w:numPr>
          <w:ilvl w:val="0"/>
          <w:numId w:val="1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Quarterly duplicate review of Business Partners (BP).</w:t>
      </w:r>
    </w:p>
    <w:p w14:paraId="086B13D7" w14:textId="77777777" w:rsidR="00040A67" w:rsidRPr="000F6CA3" w:rsidRDefault="00040A67" w:rsidP="00040A67">
      <w:pPr>
        <w:numPr>
          <w:ilvl w:val="0"/>
          <w:numId w:val="1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Credit limits are consolidated and shared when three European subsidiaries correspond to the same customer.</w:t>
      </w:r>
    </w:p>
    <w:p w14:paraId="0EE4DF79" w14:textId="77777777" w:rsidR="00040A67" w:rsidRPr="000F6CA3" w:rsidRDefault="00040A67" w:rsidP="00040A67">
      <w:pPr>
        <w:numPr>
          <w:ilvl w:val="0"/>
          <w:numId w:val="1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ETS scenario: Duplicate elimination based on unique VAT ID; China import &amp; export companies FLVN00 and FLVN01 serve as inter-company vendors.</w:t>
      </w:r>
    </w:p>
    <w:p w14:paraId="37CABF16" w14:textId="39116A99" w:rsidR="004A612E" w:rsidRPr="000F6CA3" w:rsidRDefault="00C23516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 Detailed deduplication rules and data cleansing plan are subject to BBP approval.</w:t>
      </w:r>
    </w:p>
    <w:p w14:paraId="78117E90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3.6  组织架构主数据</w:t>
      </w:r>
    </w:p>
    <w:p w14:paraId="5231623B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lastRenderedPageBreak/>
        <w:t xml:space="preserve">3.6  </w:t>
      </w:r>
      <w:proofErr w:type="spell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Organisational</w:t>
      </w:r>
      <w:proofErr w:type="spellEnd"/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Structure Master Data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1"/>
        <w:gridCol w:w="2923"/>
        <w:gridCol w:w="4190"/>
      </w:tblGrid>
      <w:tr w:rsidR="004A612E" w:rsidRPr="000F6CA3" w14:paraId="39D997E0" w14:textId="77777777">
        <w:trPr>
          <w:tblHeader/>
        </w:trPr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B925E7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组织层级 / Org Level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93E6CF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设置 / Setting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E838D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说明 / Notes</w:t>
            </w:r>
          </w:p>
        </w:tc>
      </w:tr>
      <w:tr w:rsidR="004A612E" w:rsidRPr="000F6CA3" w14:paraId="1ADDA035" w14:textId="77777777"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A44B4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客户端 / SAP Client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8E9F4D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EP Overseas（单一客户端）/ Single client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26369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所有法人共享一个 SAP 实例 / All entities share one SAP instance</w:t>
            </w:r>
          </w:p>
        </w:tc>
      </w:tr>
      <w:tr w:rsidR="004A612E" w:rsidRPr="000F6CA3" w14:paraId="4B8B5D80" w14:textId="77777777"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357CB7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控制区域 / Controlling Area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25BFF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全球唯一（EPGL）/ Global single CA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5424CD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覆盖所有海外法人 / Covers all overseas entities</w:t>
            </w:r>
          </w:p>
        </w:tc>
      </w:tr>
      <w:tr w:rsidR="004A612E" w:rsidRPr="000F6CA3" w14:paraId="29DBD0D4" w14:textId="77777777"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8EDF9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公司代码 / Company Code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023EF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EPUK / EPDE / EPBE / EPTH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AFBC6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每个法人一个公司代码 / One Company Code per legal entity</w:t>
            </w:r>
          </w:p>
        </w:tc>
      </w:tr>
      <w:tr w:rsidR="004A612E" w:rsidRPr="000F6CA3" w14:paraId="34638A02" w14:textId="77777777"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0E70FD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利润中心 / Profit Centre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574E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多维度：国家/业务线/产品 / Multi-dim: Country/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BizLine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/Product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F75C71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CO-PA 维度设计 / CO-PA dimension design</w:t>
            </w:r>
          </w:p>
        </w:tc>
      </w:tr>
      <w:tr w:rsidR="004A612E" w:rsidRPr="000F6CA3" w14:paraId="1823CB94" w14:textId="77777777">
        <w:tc>
          <w:tcPr>
            <w:tcW w:w="263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9B2419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采购组织 / Purchasing Org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8B605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待定：集中 vs 分散 / TBD: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Centralised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vs Distributed</w:t>
            </w:r>
          </w:p>
        </w:tc>
        <w:tc>
          <w:tcPr>
            <w:tcW w:w="419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FD1BE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专题讨论 T06 决策 / Decision in Workshop T06</w:t>
            </w:r>
          </w:p>
        </w:tc>
      </w:tr>
    </w:tbl>
    <w:p w14:paraId="3045A6C3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7B1B50F1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T06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T06</w:t>
      </w:r>
    </w:p>
    <w:p w14:paraId="61FD200A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组织架构与利润中心粒度</w:t>
      </w:r>
    </w:p>
    <w:p w14:paraId="46C30E74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</w:t>
      </w:r>
      <w:proofErr w:type="spellStart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>Organisation</w:t>
      </w:r>
      <w:proofErr w:type="spellEnd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Structure &amp; Profit Centre Granularity</w:t>
      </w:r>
    </w:p>
    <w:p w14:paraId="440E446B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72639343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欧洲三法人目前如何汇报业绩？按国家还是按业务线（vehicle/配件/服务/租赁）？</w:t>
      </w:r>
    </w:p>
    <w:p w14:paraId="71155BBC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How do Europe's three entities currently report performance — by country or by business line?</w:t>
      </w:r>
    </w:p>
    <w:p w14:paraId="5B6D38CD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是否考虑设立欧洲集中采购组织，统一管理配件采购？</w:t>
      </w:r>
    </w:p>
    <w:p w14:paraId="0828F3E8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Is a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centralised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European Purchasing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Organisation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being considered?</w:t>
      </w:r>
    </w:p>
    <w:p w14:paraId="2621C02F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管理报告（CO-PA）中希望能按哪些维度分析利润：客户·产品·区域·渠道·销售代表？</w:t>
      </w:r>
    </w:p>
    <w:p w14:paraId="77D687B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Which dimensions are needed for CO-PA management P&amp;L: Customer · Product · Region · Channel · Sales Rep?</w:t>
      </w:r>
    </w:p>
    <w:p w14:paraId="7C20691D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026D793F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确定公司代码/销售组织/采购组织设置，利润中心层级与管理报告维度</w:t>
      </w:r>
    </w:p>
    <w:p w14:paraId="3CD1152B" w14:textId="77777777" w:rsidR="004A612E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company code/sales org/purchasing org structure; Profit Centre hierarchy and CO-PA dimensions.</w:t>
      </w:r>
    </w:p>
    <w:p w14:paraId="29078EB9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/ Actual Results]</w:t>
      </w:r>
    </w:p>
    <w:p w14:paraId="21FB102C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37A82DF8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完整设计方案已确认（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v1.3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49F84F98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公司代码：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EPUK(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英国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)/EPDE(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德国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)/EPBE(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比利时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)/EPTH(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泰国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</w:t>
      </w:r>
    </w:p>
    <w:p w14:paraId="56126584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控制区域：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EPGL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（全球海外唯一）；客户端：单一生产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Client</w:t>
      </w:r>
    </w:p>
    <w:p w14:paraId="1ACD56FE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利润中心：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层（国家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L1 ×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业务线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L2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PC-UK/PC-DE/PC-BE/PC-TH ×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lastRenderedPageBreak/>
        <w:t>VHL/ETS/AGV/PAR/SVC/LSE/MFG/TRD</w:t>
      </w:r>
    </w:p>
    <w:p w14:paraId="528F002D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成本中心：统一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10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部门模板（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SALE/ETSV/AGVO/MKTG/PURC/LOGI/FINS/ADMN/SERV/LEAS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53069723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平行分类账：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0L(IFRS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主账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)/</w:t>
      </w:r>
      <w:proofErr w:type="gramEnd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LL(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本地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GAAP)/ML(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管理账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</w:t>
      </w:r>
    </w:p>
    <w:p w14:paraId="3EE0FCEC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CO-PA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J55 Margin Analysis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，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4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层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CM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CM1(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毛利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)→CM2(PC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贡献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)→CM3(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净营业利润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)→CM4(EBIT)</w:t>
      </w:r>
    </w:p>
    <w:p w14:paraId="5853B017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ETS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代理模式：中国进出口公司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主体，欧洲法人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代理（仅确认服务费收入）</w:t>
      </w:r>
    </w:p>
    <w:p w14:paraId="1D9751B4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J55 Margin Analysis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2QL Universal Allocation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1SG Group Reporting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3X7 Profit Center Accounting</w:t>
      </w:r>
    </w:p>
    <w:p w14:paraId="00E4D6F7" w14:textId="3D4270C1" w:rsidR="00BE0D17" w:rsidRPr="000F6CA3" w:rsidRDefault="00BE0D17" w:rsidP="00BE0D17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D-PC01~07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共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7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个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决策点需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BBP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确认</w:t>
      </w:r>
    </w:p>
    <w:p w14:paraId="741A7431" w14:textId="5DC777CD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Full design solution v1.3 has been confirmed.</w:t>
      </w:r>
    </w:p>
    <w:p w14:paraId="35E86CB8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Company Codes: EPUK (UK), EPDE (Germany), EPBE (Belgium), EPTH (Thailand)</w:t>
      </w:r>
    </w:p>
    <w:p w14:paraId="309F9E7E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Controlling Area: EPGL (single global overseas controlling area); Single production client</w:t>
      </w:r>
    </w:p>
    <w:p w14:paraId="769024D5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Two-level Profit Center structure (Country L1 × Business Line L2): PC-UK / PC-DE / PC-BE / PC-TH paired with VHL / ETS / AGV / PAR / SVC / LSE / MFG / TRD</w:t>
      </w:r>
    </w:p>
    <w:p w14:paraId="12E1F026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Cost Centers: Standard template covering 10 departments (SALE / ETSV / AGVO / MKTG / PURC / LOGI / FINS / ADMN / SERV / LEAS)</w:t>
      </w:r>
    </w:p>
    <w:p w14:paraId="00C6A385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Parallel Ledgers: 0L (Leading Ledger for IFRS), LL (Local GAAP Ledger), ML (Management Ledger)</w:t>
      </w:r>
    </w:p>
    <w:p w14:paraId="5F7BE441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CO-PA: J55 Margin Analysis with four contribution margin tiers: CM1 (Gross Margin) → CM2 (Profit Center Contribution) → CM3 (Net Operating Profit) → CM4 (EBIT)</w:t>
      </w:r>
    </w:p>
    <w:p w14:paraId="2EF081A2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ETS Agency Model: China import &amp; export company acts as </w:t>
      </w:r>
      <w:proofErr w:type="gram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principal,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European legal entities act as agents (only recognize service fee revenue)</w:t>
      </w:r>
    </w:p>
    <w:p w14:paraId="5BA9F7FF" w14:textId="77777777" w:rsidR="00040A67" w:rsidRPr="000F6CA3" w:rsidRDefault="00040A67" w:rsidP="00040A67">
      <w:pPr>
        <w:numPr>
          <w:ilvl w:val="0"/>
          <w:numId w:val="1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Items: J55 Margin Analysis; 2QL Universal Allocation; 1SG Group Reporting; 3X7 Profit Center Accounting</w:t>
      </w:r>
    </w:p>
    <w:p w14:paraId="4DBFFA28" w14:textId="019DB492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 Seven decision points D-PC01 to D-PC07 require BBP sign-off.</w:t>
      </w:r>
    </w:p>
    <w:p w14:paraId="0B229F29" w14:textId="77777777" w:rsidR="00040A67" w:rsidRPr="000F6CA3" w:rsidRDefault="00040A6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3C25DDB4" w14:textId="77777777" w:rsidR="004A612E" w:rsidRPr="000F6CA3" w:rsidRDefault="008622BD">
      <w:pPr>
        <w:pageBreakBefore/>
        <w:shd w:val="clear" w:color="auto" w:fill="1F3864"/>
        <w:spacing w:before="20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lastRenderedPageBreak/>
        <w:t>4.  贸易业务流程设计（以欧洲为例）</w:t>
      </w:r>
    </w:p>
    <w:p w14:paraId="13B70D06" w14:textId="5D3A560A" w:rsidR="004A612E" w:rsidRPr="000F6CA3" w:rsidRDefault="008622BD" w:rsidP="00BE0D17">
      <w:pPr>
        <w:shd w:val="clear" w:color="auto" w:fill="1F3864"/>
        <w:spacing w:after="240"/>
        <w:ind w:left="120" w:right="120"/>
        <w:rPr>
          <w:rFonts w:ascii="微软雅黑" w:eastAsia="微软雅黑" w:hAnsi="微软雅黑"/>
          <w:i/>
          <w:iCs/>
          <w:color w:val="D6E4F0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>4.  Trade Process Design (Europe as Reference)</w:t>
      </w:r>
    </w:p>
    <w:p w14:paraId="707B4F5B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4.1  Vehicle 销售全流程 O2C</w:t>
      </w:r>
    </w:p>
    <w:p w14:paraId="45A04E65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4.1  Full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Vehicle Sales O2C Flow</w:t>
      </w:r>
    </w:p>
    <w:p w14:paraId="31EC47BE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EP 欧洲 vehicle 为 MTO（按订单采购）模式，每笔 vehicle 销售均涉及跨系统的完整链条（SAP </w:t>
      </w:r>
      <w:r w:rsidRPr="000F6CA3">
        <w:rPr>
          <w:rFonts w:eastAsia="微软雅黑"/>
          <w:sz w:val="21"/>
          <w:szCs w:val="21"/>
        </w:rPr>
        <w:t>↔</w:t>
      </w:r>
      <w:r w:rsidRPr="000F6CA3">
        <w:rPr>
          <w:rFonts w:ascii="微软雅黑" w:eastAsia="微软雅黑" w:hAnsi="微软雅黑"/>
          <w:sz w:val="21"/>
          <w:szCs w:val="21"/>
        </w:rPr>
        <w:t xml:space="preserve">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 xml:space="preserve"> </w:t>
      </w:r>
      <w:r w:rsidRPr="000F6CA3">
        <w:rPr>
          <w:rFonts w:eastAsia="微软雅黑"/>
          <w:sz w:val="21"/>
          <w:szCs w:val="21"/>
        </w:rPr>
        <w:t>↔</w:t>
      </w:r>
      <w:r w:rsidRPr="000F6CA3">
        <w:rPr>
          <w:rFonts w:ascii="微软雅黑" w:eastAsia="微软雅黑" w:hAnsi="微软雅黑"/>
          <w:sz w:val="21"/>
          <w:szCs w:val="21"/>
        </w:rPr>
        <w:t xml:space="preserve"> 银行），从客户询价到最终收款之间的每一步都需要在蓝图阶段明确设计。</w:t>
      </w:r>
    </w:p>
    <w:p w14:paraId="50890FB3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 Europe's vehicle sales follow MTO. Every step from customer enquiry to final cash receipt must be explicitly designed in Blueprint.</w:t>
      </w:r>
    </w:p>
    <w:p w14:paraId="352C3167" w14:textId="77777777" w:rsidR="004A612E" w:rsidRPr="000F6CA3" w:rsidRDefault="004A612E">
      <w:pPr>
        <w:spacing w:before="8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4"/>
        <w:gridCol w:w="4873"/>
        <w:gridCol w:w="3118"/>
      </w:tblGrid>
      <w:tr w:rsidR="004A612E" w:rsidRPr="000F6CA3" w14:paraId="13F46129" w14:textId="77777777">
        <w:trPr>
          <w:tblHeader/>
        </w:trPr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B6FFB0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步骤 / Step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1FF429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描述 / Description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8AA9A7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系统 / System</w:t>
            </w:r>
          </w:p>
        </w:tc>
      </w:tr>
      <w:tr w:rsidR="004A612E" w:rsidRPr="000F6CA3" w14:paraId="1D2C6EA4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1400F8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① 客户询价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1A0794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Customer Enquiry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45933F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CRM / Email</w:t>
            </w:r>
          </w:p>
        </w:tc>
      </w:tr>
      <w:tr w:rsidR="004A612E" w:rsidRPr="000F6CA3" w14:paraId="691C2F9A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C9D5BA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② SAP 报价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BD0DEF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Quotation in SAP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707964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SD</w:t>
            </w:r>
          </w:p>
        </w:tc>
      </w:tr>
      <w:tr w:rsidR="004A612E" w:rsidRPr="000F6CA3" w14:paraId="0EAED9ED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95B07A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③ 销售订单创建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44264C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Sales Order (material · VIN delivery date · pricing)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219DC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SD</w:t>
            </w:r>
          </w:p>
        </w:tc>
      </w:tr>
      <w:tr w:rsidR="004A612E" w:rsidRPr="000F6CA3" w14:paraId="0A2C900B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4EB0BA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④ 触发集团内 PO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82BB6A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Intercompany PO → sent to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(auto vs manual TBD)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009FC9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SAP MM </w:t>
            </w:r>
            <w:r w:rsidRPr="000F6CA3">
              <w:rPr>
                <w:rFonts w:eastAsia="微软雅黑"/>
                <w:sz w:val="19"/>
                <w:szCs w:val="19"/>
              </w:rPr>
              <w:t>↔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</w:p>
        </w:tc>
      </w:tr>
      <w:tr w:rsidR="004A612E" w:rsidRPr="000F6CA3" w14:paraId="79DD7762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A9E9F4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⑤ 中国工厂备货/生产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2516A3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China factory prepares / manufactures / ships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864B0B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</w:p>
        </w:tc>
      </w:tr>
      <w:tr w:rsidR="004A612E" w:rsidRPr="000F6CA3" w14:paraId="3AB2F7AE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039EF4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⑥ 在途库存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99E2AD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In-transit stock; Incoterms risk transfer point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3DDAFE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MM</w:t>
            </w:r>
          </w:p>
        </w:tc>
      </w:tr>
      <w:tr w:rsidR="004A612E" w:rsidRPr="000F6CA3" w14:paraId="75EA29B6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ED4AD3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⑦ 欧洲收货 GR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006237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Goods Receipt → VIN entered into serial number record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8BA29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MM</w:t>
            </w:r>
          </w:p>
        </w:tc>
      </w:tr>
      <w:tr w:rsidR="004A612E" w:rsidRPr="000F6CA3" w14:paraId="6EA441F6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34F32A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⑧ 交货出库 GI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576DD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Delivery → Goods Issue → VIN bound to customer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51E836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SD</w:t>
            </w:r>
          </w:p>
        </w:tc>
      </w:tr>
      <w:tr w:rsidR="004A612E" w:rsidRPr="000F6CA3" w14:paraId="55AAF676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E837B6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⑨ 开票 Billing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521A37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Billing → IFRS 15 revenue recognition → VAT auto-generated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87E00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SD / FI</w:t>
            </w:r>
          </w:p>
        </w:tc>
      </w:tr>
      <w:tr w:rsidR="004A612E" w:rsidRPr="000F6CA3" w14:paraId="1BAE880D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BDFF6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⑩ 收款 Payment</w:t>
            </w:r>
          </w:p>
        </w:tc>
        <w:tc>
          <w:tcPr>
            <w:tcW w:w="487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5FD14C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Bank statement imported → Auto-matched to AR</w:t>
            </w:r>
          </w:p>
        </w:tc>
        <w:tc>
          <w:tcPr>
            <w:tcW w:w="311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911D1E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FI / Bank</w:t>
            </w:r>
          </w:p>
        </w:tc>
      </w:tr>
    </w:tbl>
    <w:p w14:paraId="11A61B3D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2C6FB5B3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T07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T07</w:t>
      </w:r>
    </w:p>
    <w:p w14:paraId="549A52E4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Vehicle 销售全流程（询价到收款 OTC）</w:t>
      </w:r>
    </w:p>
    <w:p w14:paraId="3F6ADDE1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Full Vehicle Sales Flow (Enquiry-to-Cash / OTC)</w:t>
      </w:r>
    </w:p>
    <w:p w14:paraId="01CECD8B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75B007F0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欧洲报价流程：是否需要在 SAP 中管理报价单（Quotation），还是报价在 CRM/Excel 中处理后直接进 SAP 销售订单？</w:t>
      </w:r>
    </w:p>
    <w:p w14:paraId="7D2D761A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Does the European quotation process need to be managed in SAP (formal Quotation), or is quoting handled in CRM/Excel before entering SAP?</w:t>
      </w:r>
    </w:p>
    <w:p w14:paraId="5418B436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集团内采购订单（步骤④）的触发时机：销售订单创建时自动触发，还是业务确认后手工触发？</w:t>
      </w:r>
    </w:p>
    <w:p w14:paraId="52C663B1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When should the intercompany PO (step ④) be triggered: automatically on sales order creation, or manually after business confirmation?</w:t>
      </w:r>
    </w:p>
    <w:p w14:paraId="1FEB629B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步骤⑥在途库存的 Incoterms：目前中欧运输采用什么贸易条款？风险转移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点决定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在途库存的账务归属。</w:t>
      </w:r>
    </w:p>
    <w:p w14:paraId="24329DF7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In-transit Incoterms (step ⑥): What trade terms currently apply on China-to-Europe shipments?</w:t>
      </w:r>
    </w:p>
    <w:p w14:paraId="44E2D569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步骤⑨开票时机：是出库后立即开票，还是客户签收确认后开票？IFRS 15 的履约义务完成时点如何界定？</w:t>
      </w:r>
    </w:p>
    <w:p w14:paraId="4D21FE53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Billing timing (step ⑨): Is invoicing done immediately after goods issue, or after customer sign-off?</w:t>
      </w:r>
    </w:p>
    <w:p w14:paraId="2C26A68C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5.  步骤⑩收款：欧洲客户目前的付款方式分布（电汇/银行转账/信用证）？付款条件是否标准化？</w:t>
      </w:r>
    </w:p>
    <w:p w14:paraId="61D00E0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Payment (step ⑩): What is the distribution of European customer payment methods? Are payment terms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standardised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?</w:t>
      </w:r>
    </w:p>
    <w:p w14:paraId="05B6A266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4A80C898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 OTC 全流程各步骤的 SAP 实现方式和业务规则</w:t>
      </w:r>
    </w:p>
    <w:p w14:paraId="5556DBBA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SAP implementation approach and business rules for each step of the OTC flow.</w:t>
      </w:r>
    </w:p>
    <w:p w14:paraId="3319B080" w14:textId="5CB2E061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1BF11FD3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65573971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完整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10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OTC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蓝图已签核（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v2.0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73A69A5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10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步流程：客户询价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→SAP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报价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→SO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IC PO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中国备货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在途库存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GR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交货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GI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开票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Billing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收款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Payment</w:t>
      </w:r>
    </w:p>
    <w:p w14:paraId="17D10E43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5D2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Advanced Intercompany Sales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（德国销售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比利时发货），含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VSIT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在途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控制权转移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价值链监控</w:t>
      </w:r>
    </w:p>
    <w:p w14:paraId="3B7F858A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双轨采购：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MTS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备库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ROP/PIR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驱动）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+ MTO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SO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驱动）</w:t>
      </w:r>
    </w:p>
    <w:p w14:paraId="4299AAF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收入确认：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EXW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PGI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时点；非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EXW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POD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确认时点</w:t>
      </w:r>
    </w:p>
    <w:p w14:paraId="74004F24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仓库改装：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231/232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移动类型（无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、无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4B966DFA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三方采购：中国直发客户，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SO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PO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（直发标志）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鼎捷直送</w:t>
      </w:r>
      <w:proofErr w:type="gramEnd"/>
    </w:p>
    <w:p w14:paraId="2B8EF72C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开发需求已评估：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DR1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价格模拟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(18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天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)/DR2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信息记录自动维护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(17.5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天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)/DR3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考核价传输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(23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天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)/DR4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进度跟踪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(21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天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</w:t>
      </w:r>
    </w:p>
    <w:p w14:paraId="4722296F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Core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BD9+21D+1JW+BKK+J45+J44+BLL+1LJ+1E1+J60+J59+1K2+1QM+5D2</w:t>
      </w:r>
    </w:p>
    <w:p w14:paraId="6F0B468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非标配置未命中处理方案；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欧洲备库策略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（纯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MTO vs MTS+ROP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(3)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在途管理颗粒度</w:t>
      </w:r>
    </w:p>
    <w:p w14:paraId="5C503214" w14:textId="4AB86AB2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The full 10-step OTC Business Blueprint v2.0 has been approved and signed off.</w:t>
      </w:r>
    </w:p>
    <w:p w14:paraId="0B9E031C" w14:textId="77777777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10-step end-to-end process: Customer Inquiry → SAP Quotation → Sales Order (SO) → Intercompany Purchase Order (IC PO) → Stock Preparation in China → In-transit Inventory → European Goods Receipt (GR) → Goods Issue for Delivery (GI) → Billing → Payment Collection</w:t>
      </w:r>
    </w:p>
    <w:p w14:paraId="47E9F47B" w14:textId="77777777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European scope item 5D2: Advanced Intercompany Sales (sales entity in Germany, delivery fulfilled from Belgium), covering VSIT in-transit stock, transfer of control and value chain monitoring.</w:t>
      </w:r>
    </w:p>
    <w:p w14:paraId="7554EC12" w14:textId="613F1DF4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Dual procurement model: MTS (stock replenishment driven by ROP / </w:t>
      </w:r>
      <w:r w:rsidR="00735A89"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PIR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 + MTO (demand driven by Sales Orders).</w:t>
      </w:r>
    </w:p>
    <w:p w14:paraId="55F16320" w14:textId="77777777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Revenue recognition rule: EXW terms – recognize revenue at time of PGI; non-EXW terms – recognize revenue upon POD confirmation.</w:t>
      </w:r>
    </w:p>
    <w:p w14:paraId="2874B4BE" w14:textId="77777777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Warehouse refitting activities: Posted via movement types 231 / 232 (no PP or PS module involvement).</w:t>
      </w:r>
    </w:p>
    <w:p w14:paraId="2046A901" w14:textId="77777777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Third-party drop-ship procurement: Direct shipment from China to end customers; process flow: Sales Order with drop-ship indicator → Purchase Order → direct delivery via DIGIWIN.</w:t>
      </w:r>
    </w:p>
    <w:p w14:paraId="51CE45E2" w14:textId="77777777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Developments assessed with effort estimation: DR1 Price Simulation (18 days), DR2 Automatic Info Record Maintenance (17.5 days), DR3 Transfer of Target Evaluation Prices (23 days), DR4 Project Progress Tracking (21 days).</w:t>
      </w:r>
    </w:p>
    <w:p w14:paraId="715BC39E" w14:textId="77777777" w:rsidR="00040A67" w:rsidRPr="000F6CA3" w:rsidRDefault="00040A67" w:rsidP="00040A67">
      <w:pPr>
        <w:numPr>
          <w:ilvl w:val="0"/>
          <w:numId w:val="1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Core Scope Items: BD9+21D+1JW+BKK+J45+J44+BLL+1LJ+1E1+J60+J59+1K2+1QM+5D2</w:t>
      </w:r>
    </w:p>
    <w:p w14:paraId="2586E0F0" w14:textId="410E6A56" w:rsidR="00040A67" w:rsidRPr="000F6CA3" w:rsidRDefault="00C23516" w:rsidP="00040A6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040A67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 items:</w:t>
      </w:r>
    </w:p>
    <w:p w14:paraId="427011C8" w14:textId="77777777" w:rsidR="00040A67" w:rsidRPr="000F6CA3" w:rsidRDefault="00040A67" w:rsidP="00040A67">
      <w:pPr>
        <w:numPr>
          <w:ilvl w:val="0"/>
          <w:numId w:val="13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Handling process for unmatched non-standard configurations;</w:t>
      </w:r>
    </w:p>
    <w:p w14:paraId="60670124" w14:textId="77777777" w:rsidR="00040A67" w:rsidRPr="000F6CA3" w:rsidRDefault="00040A67" w:rsidP="00040A67">
      <w:pPr>
        <w:numPr>
          <w:ilvl w:val="0"/>
          <w:numId w:val="13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European stocking strategy (pure MTO versus MTS with ROP replenishment);</w:t>
      </w:r>
    </w:p>
    <w:p w14:paraId="6AA3B9F6" w14:textId="77777777" w:rsidR="00040A67" w:rsidRPr="000F6CA3" w:rsidRDefault="00040A67" w:rsidP="00040A67">
      <w:pPr>
        <w:numPr>
          <w:ilvl w:val="0"/>
          <w:numId w:val="13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Granularity of in-transit inventory management.</w:t>
      </w:r>
    </w:p>
    <w:p w14:paraId="7499EC28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499C4922" w14:textId="1E9C7DFC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0BAE75FF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4.2  补货策略与库存策略</w:t>
      </w:r>
    </w:p>
    <w:p w14:paraId="3EF1668B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4.2  Replenishment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&amp; Inventory Strategy</w:t>
      </w:r>
    </w:p>
    <w:p w14:paraId="4DF7B118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3251D450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T08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T08</w:t>
      </w:r>
    </w:p>
    <w:p w14:paraId="084ADECD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Vehicle 与配件的补货策略（MTO / MTS / 安全库存）</w:t>
      </w:r>
    </w:p>
    <w:p w14:paraId="3B521ADE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Vehicle &amp; Spare Parts Replenishment Strategy</w:t>
      </w:r>
    </w:p>
    <w:p w14:paraId="57DD798F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6"/>
        <w:gridCol w:w="3411"/>
        <w:gridCol w:w="3898"/>
      </w:tblGrid>
      <w:tr w:rsidR="004A612E" w:rsidRPr="000F6CA3" w14:paraId="1B3820D7" w14:textId="77777777">
        <w:trPr>
          <w:tblHeader/>
        </w:trPr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68D44A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物料 / Material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48FB57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建议策略 / Proposed Strategy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831D7F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待确认 / To Confirm</w:t>
            </w:r>
          </w:p>
        </w:tc>
      </w:tr>
      <w:tr w:rsidR="004A612E" w:rsidRPr="000F6CA3" w14:paraId="61B66CE6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3508B5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Vehicle（新订单）/ New-order Vehicle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3FF053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MTO（按订单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向鼎捷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采购）/ MTO — IC PO triggers to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976E83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IC PO 触发方式：自动 vs 手工 / IC PO trigger: Auto vs Manual</w:t>
            </w:r>
          </w:p>
        </w:tc>
      </w:tr>
      <w:tr w:rsidR="004A612E" w:rsidRPr="000F6CA3" w14:paraId="543BE510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E7CB05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Vehicle（安全库存）/ Safety Stock Vehicle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84B11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待讨论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TBD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D8AE33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是否维持欧洲本地备货？库存水位由谁决定？ / Maintain local EU stock? Who sets levels?</w:t>
            </w:r>
          </w:p>
        </w:tc>
      </w:tr>
      <w:tr w:rsidR="004A612E" w:rsidRPr="000F6CA3" w14:paraId="17BAF716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8CF76A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配件（常规）/ Standard 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Spare Parts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A077DF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 xml:space="preserve">MTS（按库存水位定期补货）/ MTS 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— periodic reorder at min stock level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79624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最低库存 · 补货量 · 采购周期 / Min-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stock · Reorder qty · Lead time</w:t>
            </w:r>
          </w:p>
        </w:tc>
      </w:tr>
      <w:tr w:rsidR="004A612E" w:rsidRPr="000F6CA3" w14:paraId="6E23BDB1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A5C58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配件（高值/慢动）/ High-Value / Slow-Moving Parts</w:t>
            </w:r>
          </w:p>
        </w:tc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498CC2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建议 MTO，待确认 / Proposed MTO; TBC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4DBC51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避免资金占用 vs 客户响应速度平衡 / Balance: capital tie-up vs service level</w:t>
            </w:r>
          </w:p>
        </w:tc>
      </w:tr>
    </w:tbl>
    <w:p w14:paraId="6C31290F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350104BC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欧洲是否需要维持 vehicle 安全库存？如果维持，谁负责决定库存水位和机型？</w:t>
      </w:r>
    </w:p>
    <w:p w14:paraId="031F6383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Does Europe need to maintain vehicle safety stock? If so, who decides the stock levels and models?</w:t>
      </w:r>
    </w:p>
    <w:p w14:paraId="66394971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配件的补货决策：目前由欧洲各法人独立决定，还是有欧洲统一的补货政策？</w:t>
      </w:r>
    </w:p>
    <w:p w14:paraId="3EC35E6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Spare parts replenishment decisions: Currently made independently by each entity, or governed by a unified European policy?</w:t>
      </w:r>
    </w:p>
    <w:p w14:paraId="6808700D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欧洲向中国下配件采购订单的频率和批量如何？是否有框架采购合同？</w:t>
      </w:r>
    </w:p>
    <w:p w14:paraId="26BF8122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How frequently does Europe place spare parts procurement orders on China? Are there framework purchase agreements?</w:t>
      </w:r>
    </w:p>
    <w:p w14:paraId="1BC9CA19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高值配件（如整车核心部件）是否按 MTO 处理？如何平衡资金占用和客户服务水平？</w:t>
      </w:r>
    </w:p>
    <w:p w14:paraId="275AE545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high-value spare parts treated as MTO? How is the balance between capital tie-up and customer service level managed?</w:t>
      </w:r>
    </w:p>
    <w:p w14:paraId="651A46C8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3C1A41C5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 vehicle 和各类配件的补货策略与 SAP MRP 参数</w:t>
      </w:r>
    </w:p>
    <w:p w14:paraId="0D63919C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vehicle and spare parts replenishment strategies and SAP MRP parameter design.</w:t>
      </w:r>
    </w:p>
    <w:p w14:paraId="009EE761" w14:textId="00385D65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231E61D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4078669A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MRP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双路径方案已设计（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ROP + PIR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），参数模板已定义</w:t>
      </w:r>
    </w:p>
    <w:p w14:paraId="25E9008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Vehicle MTS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补货：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ROP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（安全库存法）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→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库存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≤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再订货点自动补货；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PIR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（计划独立需求法）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→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销售预测驱动</w:t>
      </w:r>
    </w:p>
    <w:p w14:paraId="7031002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Vehicle MTO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非备库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SO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确认产生独立需求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MRP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生成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MTO PR</w:t>
      </w:r>
    </w:p>
    <w:p w14:paraId="2D72A83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备件补货：手工为主（中国备件管理员制定补库清单），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MRP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建议为辅；比利时仓库集中备件库存</w:t>
      </w:r>
    </w:p>
    <w:p w14:paraId="5F339ED1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补货参数建议：安全库存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30-45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天；订货周期每月一次；海运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6-8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空运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1-2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周；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EOQ=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月均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×2-3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月</w:t>
      </w:r>
    </w:p>
    <w:p w14:paraId="6438022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Scope Item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J44 MRP with Reorder Point Planning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Global Core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612CD4C8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D2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欧洲备库策略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未最终决策（纯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MTO vs MTS+ROP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各具体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ROP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参数未锁定</w:t>
      </w:r>
    </w:p>
    <w:p w14:paraId="13A7E4F5" w14:textId="6816702A" w:rsidR="00DA27A9" w:rsidRPr="000F6CA3" w:rsidRDefault="00C23516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Two-path MRP solution (ROP + PIR) has been designed, with parameter templates defined.</w:t>
      </w:r>
    </w:p>
    <w:p w14:paraId="2B073D6F" w14:textId="77777777" w:rsidR="00DA27A9" w:rsidRPr="000F6CA3" w:rsidRDefault="00DA27A9" w:rsidP="00DA27A9">
      <w:pPr>
        <w:numPr>
          <w:ilvl w:val="0"/>
          <w:numId w:val="14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MTS replenishment for Vehicles:</w:t>
      </w:r>
    </w:p>
    <w:p w14:paraId="4FCC882A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ROP (reorder point with safety stock): Automatic replenishment when stock falls below reorder point;</w:t>
      </w:r>
    </w:p>
    <w:p w14:paraId="74909FFA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PIR (Planned Independent Requirements): Replenishment driven by sales forecast.</w:t>
      </w:r>
    </w:p>
    <w:p w14:paraId="6B562929" w14:textId="77777777" w:rsidR="00DA27A9" w:rsidRPr="000F6CA3" w:rsidRDefault="00DA27A9" w:rsidP="00DA27A9">
      <w:pPr>
        <w:numPr>
          <w:ilvl w:val="0"/>
          <w:numId w:val="14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Non-stock MTO Vehicles: Confirmed sales orders generate independent requirements, and MRP creates MTO purchase requisitions.</w:t>
      </w:r>
    </w:p>
    <w:p w14:paraId="63760719" w14:textId="77777777" w:rsidR="00DA27A9" w:rsidRPr="000F6CA3" w:rsidRDefault="00DA27A9" w:rsidP="00DA27A9">
      <w:pPr>
        <w:numPr>
          <w:ilvl w:val="0"/>
          <w:numId w:val="14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Spare parts replenishment: Manual planning led by China spare parts administrators to prepare replenishment lists, supplemented by MRP proposals. Spare parts inventory is centralized at the Belgium warehouse.</w:t>
      </w:r>
    </w:p>
    <w:p w14:paraId="41FB3801" w14:textId="77777777" w:rsidR="00DA27A9" w:rsidRPr="000F6CA3" w:rsidRDefault="00DA27A9" w:rsidP="00DA27A9">
      <w:pPr>
        <w:numPr>
          <w:ilvl w:val="0"/>
          <w:numId w:val="14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Proposed replenishment parameters: 30–45 days safety stock; monthly ordering cycle; sea transit lead time 6–8 weeks / air transit lead time 1–2 weeks; EOQ = average monthly demand × 2 to 3 months.</w:t>
      </w:r>
    </w:p>
    <w:p w14:paraId="5DA043BF" w14:textId="77777777" w:rsidR="00DA27A9" w:rsidRPr="000F6CA3" w:rsidRDefault="00DA27A9" w:rsidP="00DA27A9">
      <w:pPr>
        <w:numPr>
          <w:ilvl w:val="0"/>
          <w:numId w:val="14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Item: J44 MRP with Reorder Point Planning (Global Core).</w:t>
      </w:r>
    </w:p>
    <w:p w14:paraId="738D458C" w14:textId="3224D38A" w:rsidR="00DA27A9" w:rsidRPr="000F6CA3" w:rsidRDefault="00C23516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0DB20D44" w14:textId="77777777" w:rsidR="00DA27A9" w:rsidRPr="000F6CA3" w:rsidRDefault="00DA27A9" w:rsidP="00DA27A9">
      <w:pPr>
        <w:numPr>
          <w:ilvl w:val="0"/>
          <w:numId w:val="15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Final decision pending for D2 European stocking strategy (pure MTO vs MTS with ROP);</w:t>
      </w:r>
    </w:p>
    <w:p w14:paraId="02B3917E" w14:textId="77777777" w:rsidR="00DA27A9" w:rsidRPr="000F6CA3" w:rsidRDefault="00DA27A9" w:rsidP="00DA27A9">
      <w:pPr>
        <w:numPr>
          <w:ilvl w:val="0"/>
          <w:numId w:val="15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Specific ROP parameters for all materials not yet finalized.</w:t>
      </w:r>
    </w:p>
    <w:p w14:paraId="659EF72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5659F79C" w14:textId="0FEBD6E0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547CFBBB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4.3  VIN 级别折扣定价</w:t>
      </w:r>
    </w:p>
    <w:p w14:paraId="59D20987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4.3  VIN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-Level Discount Pricing</w:t>
      </w:r>
    </w:p>
    <w:p w14:paraId="69C45CA7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2D235FFD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T09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T09</w:t>
      </w:r>
    </w:p>
    <w:p w14:paraId="41264746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VIN 级别折扣定价方案</w:t>
      </w:r>
    </w:p>
    <w:p w14:paraId="74892484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VIN-Level Discount Pricing</w:t>
      </w:r>
    </w:p>
    <w:p w14:paraId="4C4ABEDC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2923"/>
        <w:gridCol w:w="2436"/>
        <w:gridCol w:w="2436"/>
      </w:tblGrid>
      <w:tr w:rsidR="004A612E" w:rsidRPr="000F6CA3" w14:paraId="2F56F59E" w14:textId="77777777">
        <w:trPr>
          <w:tblHeader/>
        </w:trPr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A88CEC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方案 / Option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D71350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实现方式 / Implementation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0C491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优点 / Pros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15D321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缺点 / Cons</w:t>
            </w:r>
          </w:p>
        </w:tc>
      </w:tr>
      <w:tr w:rsidR="004A612E" w:rsidRPr="000F6CA3" w14:paraId="26A49DD8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198BC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A: 自定义条件表 / Custom Condition Table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1377C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定价条件表以 VIN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为键值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，系统自动匹配 / Pricing condition keyed on VIN; auto-matched by system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EE5FEA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自动化，减少人工 / Automated; reduces manual effort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866465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需要开发 / Requires custom development</w:t>
            </w:r>
          </w:p>
        </w:tc>
      </w:tr>
      <w:tr w:rsidR="004A612E" w:rsidRPr="000F6CA3" w14:paraId="74339CCD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4482A1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B: 订单行手工覆盖 / Manual Order-Line Override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F832D7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销售人员手工录入 VIN 专属折扣 / Sales staff manually enter VIN-specific discount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673ECC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无需开发 / No development needed</w:t>
            </w:r>
          </w:p>
        </w:tc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8501B4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依赖人工，需审批流 / Manual-dependent; needs approval workflow</w:t>
            </w:r>
          </w:p>
        </w:tc>
      </w:tr>
    </w:tbl>
    <w:p w14:paraId="7B136A24" w14:textId="77777777" w:rsidR="004A612E" w:rsidRPr="000F6CA3" w:rsidRDefault="008622BD">
      <w:pPr>
        <w:pBdr>
          <w:left w:val="single" w:sz="14" w:space="0" w:color="2E75B6"/>
        </w:pBdr>
        <w:shd w:val="clear" w:color="auto" w:fill="EBF2FA"/>
        <w:spacing w:before="120"/>
        <w:ind w:left="16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0"/>
          <w:szCs w:val="20"/>
        </w:rPr>
        <w:t>如已启用独立评估类（T04），标准 SAP 个别计价机制或已满足 VIN 级别成本归集，方案 A 的开发必要性需在蓝图阶段重新评估。</w:t>
      </w:r>
    </w:p>
    <w:p w14:paraId="32DBE914" w14:textId="77777777" w:rsidR="004A612E" w:rsidRPr="000F6CA3" w:rsidRDefault="008622BD">
      <w:pPr>
        <w:pBdr>
          <w:left w:val="single" w:sz="14" w:space="0" w:color="2E75B6"/>
        </w:pBdr>
        <w:shd w:val="clear" w:color="auto" w:fill="EBF2FA"/>
        <w:spacing w:after="120"/>
        <w:ind w:left="16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19"/>
          <w:szCs w:val="19"/>
        </w:rPr>
        <w:t>If individual Valuation Classes are activated (T04), SAP standard individual stock valuation may already meet VIN-level cost attribution needs — Option A's necessity should be re-evaluated in Blueprint.</w:t>
      </w:r>
    </w:p>
    <w:p w14:paraId="398983CD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6B9219A6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lastRenderedPageBreak/>
        <w:t>1.  VIN 级别折扣在欧洲业务中多常见？是每笔 vehicle 交易都有，还是仅针对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特殊大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客户？</w:t>
      </w:r>
    </w:p>
    <w:p w14:paraId="5EEEEEC3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How common are VIN-level discounts in European business — on every vehicle transaction, or only for key accounts?</w:t>
      </w:r>
    </w:p>
    <w:p w14:paraId="0F4A999E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谁有权批准针对单台 VIN 的专属折扣？当前审批流程是什么？</w:t>
      </w:r>
    </w:p>
    <w:p w14:paraId="3BF3EFA8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Who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authorises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VIN-specific discounts? What is the current approval process?</w:t>
      </w:r>
    </w:p>
    <w:p w14:paraId="183DCEC9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除 VIN 折扣外，是否还有其他非标定价需求（项目报价、框架合同定价）？</w:t>
      </w:r>
    </w:p>
    <w:p w14:paraId="1632A4D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Beyond VIN discounts, are there other non-standard pricing requirements?</w:t>
      </w:r>
    </w:p>
    <w:p w14:paraId="2FEA0826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404756F2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选定 VIN 定价方案 A 或 B，确认定制开发范围</w:t>
      </w:r>
    </w:p>
    <w:p w14:paraId="05DB74CC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Select VIN pricing Option A or B; confirm custom development scope.</w:t>
      </w:r>
    </w:p>
    <w:p w14:paraId="3F881B1D" w14:textId="3FD5BDB4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7D48577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5BE3B423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推荐方案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（自定义条件表），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Wave 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实施；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Wave 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备选方案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</w:t>
      </w:r>
    </w:p>
    <w:p w14:paraId="2145127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：自定义条件表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ZCOND_VIN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（键值：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VIN+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定价应用程序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+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条件类型）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+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条件类型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ZVIN + VK11 UI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。工作量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12-15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人天</w:t>
      </w:r>
    </w:p>
    <w:p w14:paraId="56FC384E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：销售人员在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SO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行项目手工覆盖单价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附加折扣。无需开发，无追溯性</w:t>
      </w:r>
    </w:p>
    <w:p w14:paraId="0594EF4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决策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D4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Wave 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欧洲三法人推荐方案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Wave 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法人可临时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用方案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</w:t>
      </w:r>
    </w:p>
    <w:p w14:paraId="2D4591D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VIN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折扣与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变式定价独立叠加：客户同时享有变式配置价格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+ VIN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级别折扣</w:t>
      </w:r>
    </w:p>
    <w:p w14:paraId="50BBE86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的审批工作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流设计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需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BBP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细化</w:t>
      </w:r>
    </w:p>
    <w:p w14:paraId="308133C9" w14:textId="64D7C080" w:rsidR="00DA27A9" w:rsidRPr="000F6CA3" w:rsidRDefault="00394DF4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Option A (custom condition table) is recommended for Wave 1 implementation; Option B serves as an alternative for Wave 2.</w:t>
      </w:r>
    </w:p>
    <w:p w14:paraId="67AC71D8" w14:textId="77777777" w:rsidR="00DA27A9" w:rsidRPr="000F6CA3" w:rsidRDefault="00DA27A9" w:rsidP="00DA27A9">
      <w:pPr>
        <w:numPr>
          <w:ilvl w:val="0"/>
          <w:numId w:val="1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Option A: Custom condition table ZCOND_VIN (key fields: VIN + pricing application + condition type), together with condition type ZVIN and standard VK11 UI. Estimated effort: 12–15 man-days.</w:t>
      </w:r>
    </w:p>
    <w:p w14:paraId="5D9864C7" w14:textId="77777777" w:rsidR="00DA27A9" w:rsidRPr="000F6CA3" w:rsidRDefault="00DA27A9" w:rsidP="00DA27A9">
      <w:pPr>
        <w:numPr>
          <w:ilvl w:val="0"/>
          <w:numId w:val="1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Option B: Sales staff manually overwrite unit prices or additional discounts at sales order </w:t>
      </w:r>
      <w:proofErr w:type="gram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line item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level. No development required, yet without audit trail.</w:t>
      </w:r>
    </w:p>
    <w:p w14:paraId="3A5F030E" w14:textId="77777777" w:rsidR="00DA27A9" w:rsidRPr="000F6CA3" w:rsidRDefault="00DA27A9" w:rsidP="00DA27A9">
      <w:pPr>
        <w:numPr>
          <w:ilvl w:val="0"/>
          <w:numId w:val="1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Decision D4: Option A is recommended for the three European legal entities in Wave 1; entities in Wave 2 may temporarily adopt Option B.</w:t>
      </w:r>
    </w:p>
    <w:p w14:paraId="6A0504FA" w14:textId="77777777" w:rsidR="00DA27A9" w:rsidRPr="000F6CA3" w:rsidRDefault="00DA27A9" w:rsidP="00DA27A9">
      <w:pPr>
        <w:numPr>
          <w:ilvl w:val="0"/>
          <w:numId w:val="1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VIN discounts and VC variant pricing apply cumulatively independently: customers are eligible for both variant configuration prices and VIN-level discounts simultaneously.</w:t>
      </w:r>
    </w:p>
    <w:p w14:paraId="66C9042C" w14:textId="69969663" w:rsidR="00DA27A9" w:rsidRPr="000F6CA3" w:rsidRDefault="00394DF4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 Approval workflow design for Option A requires further elaboration in BBP.</w:t>
      </w:r>
    </w:p>
    <w:p w14:paraId="7FE490F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0BDF6426" w14:textId="53D079FC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1411BE4E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4.4  配件销售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与飞仓寄售</w:t>
      </w:r>
      <w:proofErr w:type="gramEnd"/>
    </w:p>
    <w:p w14:paraId="07BE682B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4.4  Spare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Parts Sales &amp; Consignment</w:t>
      </w:r>
    </w:p>
    <w:p w14:paraId="2EAEE515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06971798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T10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T10</w:t>
      </w:r>
    </w:p>
    <w:p w14:paraId="6D70E833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配件销售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与飞仓寄售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管理</w:t>
      </w:r>
    </w:p>
    <w:p w14:paraId="1F88DF65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Spare Parts Sales &amp; Consignment (</w:t>
      </w: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>飞仓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>) Management</w:t>
      </w:r>
    </w:p>
    <w:p w14:paraId="60EEEAB3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1"/>
        <w:gridCol w:w="6334"/>
      </w:tblGrid>
      <w:tr w:rsidR="004A612E" w:rsidRPr="000F6CA3" w14:paraId="5AB360E3" w14:textId="77777777">
        <w:trPr>
          <w:tblHeader/>
        </w:trPr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8AEBA0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系统 / System</w:t>
            </w:r>
          </w:p>
        </w:tc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23990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职责 / Responsibility</w:t>
            </w:r>
          </w:p>
        </w:tc>
      </w:tr>
      <w:tr w:rsidR="004A612E" w:rsidRPr="000F6CA3" w14:paraId="2874A55F" w14:textId="77777777"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E98C44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飞仓系统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Consignment System (EP)</w:t>
            </w:r>
          </w:p>
        </w:tc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5AF7DA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寄售库存记录 · 消耗触发计费 · 客户库存可视 / Consignment stock records · Consumption-triggered billing · Customer inventory visibility</w:t>
            </w:r>
          </w:p>
        </w:tc>
      </w:tr>
      <w:tr w:rsidR="004A612E" w:rsidRPr="000F6CA3" w14:paraId="737E53BA" w14:textId="77777777">
        <w:tc>
          <w:tcPr>
            <w:tcW w:w="341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DF8F35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SAP（BOS 接口督导）/ SAP (BOS supervises interface)</w:t>
            </w:r>
          </w:p>
        </w:tc>
        <w:tc>
          <w:tcPr>
            <w:tcW w:w="633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9C5BE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寄售库存同步 · 计费单生成 · 应收账款 / Consignment sync · Billing document generation · Accounts Receivable</w:t>
            </w:r>
          </w:p>
        </w:tc>
      </w:tr>
    </w:tbl>
    <w:p w14:paraId="505F0A5E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691DA577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1. 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飞仓业务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规模：涉及多少客户、多少 SKU？欧洲三法人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都有飞仓业务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吗？</w:t>
      </w:r>
    </w:p>
    <w:p w14:paraId="3161C6F5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Consignment scale: How many customers and SKUs? Do all three European entities have consignment business?</w:t>
      </w:r>
    </w:p>
    <w:p w14:paraId="0F1A8118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飞仓库存盘点和结算频率（日/周/月）？目前如何处理库存变动账务？</w:t>
      </w:r>
    </w:p>
    <w:p w14:paraId="06D7324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Consignment stock count and billing frequency (daily/weekly/monthly)?</w:t>
      </w:r>
    </w:p>
    <w:p w14:paraId="08B00531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3. 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飞仓系统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与 SAP 数据对接：实时同步还是定期批量同步？</w:t>
      </w:r>
    </w:p>
    <w:p w14:paraId="63C3DBE6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飞仓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-SAP data sync: real-time or periodic batch?</w:t>
      </w:r>
    </w:p>
    <w:p w14:paraId="6BD8021C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58D5DA2A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确定寄售流程设计，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飞仓</w:t>
      </w:r>
      <w:proofErr w:type="gramEnd"/>
      <w:r w:rsidRPr="000F6CA3">
        <w:rPr>
          <w:rFonts w:eastAsia="微软雅黑"/>
          <w:sz w:val="21"/>
          <w:szCs w:val="21"/>
        </w:rPr>
        <w:t>↔</w:t>
      </w:r>
      <w:r w:rsidRPr="000F6CA3">
        <w:rPr>
          <w:rFonts w:ascii="微软雅黑" w:eastAsia="微软雅黑" w:hAnsi="微软雅黑"/>
          <w:sz w:val="21"/>
          <w:szCs w:val="21"/>
        </w:rPr>
        <w:t>SAP 接口规格与同步频率</w:t>
      </w:r>
    </w:p>
    <w:p w14:paraId="1019D085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Confirm consignment process design; </w:t>
      </w:r>
      <w:proofErr w:type="gram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飞仓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-SAP interface specs and sync frequency.</w:t>
      </w:r>
    </w:p>
    <w:p w14:paraId="370EF459" w14:textId="4F1C69F6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2730F25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3637491C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流程已设计，接口已定义，关键决策部分确认</w:t>
      </w:r>
    </w:p>
    <w:p w14:paraId="239185D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飞仓寄售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DAS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5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家欧洲经销商仓库以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存储地点管理，统一挂比利时公司代码</w:t>
      </w:r>
    </w:p>
    <w:p w14:paraId="487FD1E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补货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消耗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结统一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开票</w:t>
      </w:r>
    </w:p>
    <w:p w14:paraId="26F655C2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Scope Item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1IU Customer Consignment</w:t>
      </w:r>
    </w:p>
    <w:p w14:paraId="6B264206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已确认决策：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先聚焦高频配件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/D2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按月合并开票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/D4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初期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提示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+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人工补货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/D5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录入即消耗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/D6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按数量管理不启用序列号</w:t>
      </w:r>
    </w:p>
    <w:p w14:paraId="28247F3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接口：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SAP</w:t>
      </w:r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I-F1~I-F5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（补货出库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消耗推送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库存余额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补货建议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价格同步）</w:t>
      </w:r>
    </w:p>
    <w:p w14:paraId="2E12E53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备件销售三种场景：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A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标准销售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(BD9)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服务工单消耗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(3D2)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C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飞仓寄售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(1IU)</w:t>
      </w:r>
    </w:p>
    <w:p w14:paraId="62B8C197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寄售价定价模式；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集成深度（完整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轻量）；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(3)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合并开票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(2UV)</w:t>
      </w:r>
    </w:p>
    <w:p w14:paraId="32D6366E" w14:textId="1113A825" w:rsidR="00A5160B" w:rsidRPr="000F6CA3" w:rsidRDefault="00394DF4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(4)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备件批次管理启用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(BLF)</w:t>
      </w:r>
    </w:p>
    <w:p w14:paraId="5C78C39D" w14:textId="6F20C42B" w:rsidR="00DA27A9" w:rsidRPr="000F6CA3" w:rsidRDefault="00C85462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lastRenderedPageBreak/>
        <w:t>✅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Processes are fully designed and interfaces defined, with key decisions partially confirmed.</w:t>
      </w:r>
    </w:p>
    <w:p w14:paraId="1FF54451" w14:textId="77777777" w:rsidR="00DA27A9" w:rsidRPr="000F6CA3" w:rsidRDefault="00DA27A9" w:rsidP="00DA27A9">
      <w:pPr>
        <w:numPr>
          <w:ilvl w:val="0"/>
          <w:numId w:val="1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Off-site consignment warehouse (DAS): Warehouses of 5 European distributors are managed as SAP storage locations and assigned under EPBE company code uniformly.</w:t>
      </w:r>
    </w:p>
    <w:p w14:paraId="1F4A8895" w14:textId="77777777" w:rsidR="00DA27A9" w:rsidRPr="000F6CA3" w:rsidRDefault="00DA27A9" w:rsidP="00DA27A9">
      <w:pPr>
        <w:numPr>
          <w:ilvl w:val="0"/>
          <w:numId w:val="1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End-to-end flow: Replenishment → Consumption → Consolidated monthly billing.</w:t>
      </w:r>
    </w:p>
    <w:p w14:paraId="0966759A" w14:textId="77777777" w:rsidR="00DA27A9" w:rsidRPr="000F6CA3" w:rsidRDefault="00DA27A9" w:rsidP="00DA27A9">
      <w:pPr>
        <w:numPr>
          <w:ilvl w:val="0"/>
          <w:numId w:val="1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Item: 1IU Customer Consignment.</w:t>
      </w:r>
    </w:p>
    <w:p w14:paraId="3ABA54A3" w14:textId="77777777" w:rsidR="00DA27A9" w:rsidRPr="000F6CA3" w:rsidRDefault="00DA27A9" w:rsidP="00DA27A9">
      <w:pPr>
        <w:numPr>
          <w:ilvl w:val="0"/>
          <w:numId w:val="1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Confirmed decisions:</w:t>
      </w:r>
    </w:p>
    <w:p w14:paraId="194DB3D4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D1 Focus on fast-moving spare parts at initial stage;</w:t>
      </w:r>
    </w:p>
    <w:p w14:paraId="54F891D9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D2 Monthly consolidated invoicing;</w:t>
      </w:r>
    </w:p>
    <w:p w14:paraId="5F0016C2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D4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alert + manual replenishment in early phase;</w:t>
      </w:r>
    </w:p>
    <w:p w14:paraId="21760405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D5 Consumption posted upon entry in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system;</w:t>
      </w:r>
    </w:p>
    <w:p w14:paraId="4784EABD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D6 Quantity-based inventory management without serial number activation.</w:t>
      </w:r>
    </w:p>
    <w:p w14:paraId="512E33F8" w14:textId="77777777" w:rsidR="00DA27A9" w:rsidRPr="000F6CA3" w:rsidRDefault="00DA27A9" w:rsidP="00DA27A9">
      <w:pPr>
        <w:numPr>
          <w:ilvl w:val="0"/>
          <w:numId w:val="1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Interfaces between SAP and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: I-F1 ~ I-F5 (replenishment goods issue, consumption data push, inventory balance sync, replenishment proposal transmission, price synchronization).</w:t>
      </w:r>
    </w:p>
    <w:p w14:paraId="748C8CBA" w14:textId="77777777" w:rsidR="00DA27A9" w:rsidRPr="000F6CA3" w:rsidRDefault="00DA27A9" w:rsidP="00DA27A9">
      <w:pPr>
        <w:numPr>
          <w:ilvl w:val="0"/>
          <w:numId w:val="1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Three spare parts sales scenarios:</w:t>
      </w:r>
    </w:p>
    <w:p w14:paraId="4EFFC164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A </w:t>
      </w:r>
      <w:proofErr w:type="gram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Standard sales (BD9)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;</w:t>
      </w:r>
    </w:p>
    <w:p w14:paraId="44AB030D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 Service order consumption (3D2);</w:t>
      </w:r>
    </w:p>
    <w:p w14:paraId="6FA0EEE0" w14:textId="77777777" w:rsidR="00DA27A9" w:rsidRPr="000F6CA3" w:rsidRDefault="00DA27A9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 Off-site consignment warehouse sales (1IU).</w:t>
      </w:r>
    </w:p>
    <w:p w14:paraId="6720FE80" w14:textId="51923B1E" w:rsidR="00DA27A9" w:rsidRPr="000F6CA3" w:rsidRDefault="00C85462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77D05BE6" w14:textId="77777777" w:rsidR="00DA27A9" w:rsidRPr="000F6CA3" w:rsidRDefault="00DA27A9" w:rsidP="00DA27A9">
      <w:pPr>
        <w:numPr>
          <w:ilvl w:val="0"/>
          <w:numId w:val="1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Pricing model for consignment goods;</w:t>
      </w:r>
    </w:p>
    <w:p w14:paraId="0F6279DF" w14:textId="77777777" w:rsidR="00DA27A9" w:rsidRPr="000F6CA3" w:rsidRDefault="00DA27A9" w:rsidP="00DA27A9">
      <w:pPr>
        <w:numPr>
          <w:ilvl w:val="0"/>
          <w:numId w:val="1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Integration depth of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(full integration vs lightweight integration);</w:t>
      </w:r>
    </w:p>
    <w:p w14:paraId="4FEA2877" w14:textId="77777777" w:rsidR="00DA27A9" w:rsidRPr="000F6CA3" w:rsidRDefault="00DA27A9" w:rsidP="00DA27A9">
      <w:pPr>
        <w:numPr>
          <w:ilvl w:val="0"/>
          <w:numId w:val="1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Consolidated billing configuration (2UV);</w:t>
      </w:r>
    </w:p>
    <w:p w14:paraId="651F4FDE" w14:textId="77777777" w:rsidR="00DA27A9" w:rsidRPr="000F6CA3" w:rsidRDefault="00DA27A9" w:rsidP="00DA27A9">
      <w:pPr>
        <w:numPr>
          <w:ilvl w:val="0"/>
          <w:numId w:val="18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Activation of batch management for spare parts (BLF).</w:t>
      </w:r>
    </w:p>
    <w:p w14:paraId="1F1F6FFA" w14:textId="5EF2D899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141780D2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 xml:space="preserve">4.5  售后服务与 </w:t>
      </w:r>
      <w:proofErr w:type="spellStart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EPCare</w:t>
      </w:r>
      <w:proofErr w:type="spellEnd"/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 xml:space="preserve"> 边界</w:t>
      </w:r>
    </w:p>
    <w:p w14:paraId="64B5B833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4.5  After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-Sales Service &amp; </w:t>
      </w:r>
      <w:proofErr w:type="spell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 xml:space="preserve"> Boundary</w:t>
      </w:r>
    </w:p>
    <w:p w14:paraId="2A687A69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052CC79E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T11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T11</w:t>
      </w:r>
    </w:p>
    <w:p w14:paraId="21F2B817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售后服务流程与 </w:t>
      </w:r>
      <w:proofErr w:type="spell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EPCare</w:t>
      </w:r>
      <w:proofErr w:type="spell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系统边界</w:t>
      </w:r>
    </w:p>
    <w:p w14:paraId="778D0CF7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After-Sales Service Process &amp; </w:t>
      </w:r>
      <w:proofErr w:type="spellStart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System Boundary</w:t>
      </w:r>
    </w:p>
    <w:p w14:paraId="79374BEC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6"/>
        <w:gridCol w:w="7309"/>
      </w:tblGrid>
      <w:tr w:rsidR="004A612E" w:rsidRPr="000F6CA3" w14:paraId="4C9D0D00" w14:textId="77777777">
        <w:trPr>
          <w:tblHeader/>
        </w:trPr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968A80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系统 / System</w:t>
            </w:r>
          </w:p>
        </w:tc>
        <w:tc>
          <w:tcPr>
            <w:tcW w:w="730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F02E1C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职责 / Responsibility</w:t>
            </w:r>
          </w:p>
        </w:tc>
      </w:tr>
      <w:tr w:rsidR="004A612E" w:rsidRPr="000F6CA3" w14:paraId="735504B6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008943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</w:p>
        </w:tc>
        <w:tc>
          <w:tcPr>
            <w:tcW w:w="730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429D17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服务工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单创建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/跟踪 · 客户门户 · 现场工程师管理 / Service order 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creation/tracking · Customer portal · Field engineer management</w:t>
            </w:r>
          </w:p>
        </w:tc>
      </w:tr>
      <w:tr w:rsidR="004A612E" w:rsidRPr="000F6CA3" w14:paraId="6D7A3E1A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FA2B57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SAP</w:t>
            </w:r>
          </w:p>
        </w:tc>
        <w:tc>
          <w:tcPr>
            <w:tcW w:w="730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017D60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配件库存出库 · 服务计费与开票 · 质保期管理 / Parts goods issue · Service billing &amp; invoicing · Warranty management</w:t>
            </w:r>
          </w:p>
        </w:tc>
      </w:tr>
    </w:tbl>
    <w:p w14:paraId="05AD65CF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68275B23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1.  </w:t>
      </w:r>
      <w:proofErr w:type="spellStart"/>
      <w:r w:rsidRPr="000F6CA3">
        <w:rPr>
          <w:rFonts w:ascii="微软雅黑" w:eastAsia="微软雅黑" w:hAnsi="微软雅黑"/>
          <w:sz w:val="21"/>
          <w:szCs w:val="21"/>
        </w:rPr>
        <w:t>EPCare</w:t>
      </w:r>
      <w:proofErr w:type="spellEnd"/>
      <w:r w:rsidRPr="000F6CA3">
        <w:rPr>
          <w:rFonts w:ascii="微软雅黑" w:eastAsia="微软雅黑" w:hAnsi="微软雅黑"/>
          <w:sz w:val="21"/>
          <w:szCs w:val="21"/>
        </w:rPr>
        <w:t xml:space="preserve"> 在欧洲的实施状态：是否已上线，还是与 SAP 同步实施？</w:t>
      </w:r>
    </w:p>
    <w:p w14:paraId="48E03C9C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EPCare's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implementation status in Europe: already live, or being implemented simultaneously with SAP?</w:t>
      </w:r>
    </w:p>
    <w:p w14:paraId="5D81FFEA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服务开票：服务费和配件费合并开票还是分开开票？</w:t>
      </w:r>
    </w:p>
    <w:p w14:paraId="5F43ACA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Service billing: Service fees and parts costs on one invoice or separate?</w:t>
      </w:r>
    </w:p>
    <w:p w14:paraId="4242FA5A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质保期内（免费）和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质保期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外（收费）如何在系统中区分？</w:t>
      </w:r>
    </w:p>
    <w:p w14:paraId="1E8B2251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How are in-warranty (free) and out-of-warranty (chargeable) services distinguished in the system?</w:t>
      </w:r>
    </w:p>
    <w:p w14:paraId="5AB04C2D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服务收入归属哪个利润中心？是否与 vehicle 销售分开报告？</w:t>
      </w:r>
    </w:p>
    <w:p w14:paraId="3867308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Which Profit Centre does service revenue belong to? Reported separately from vehicle sales?</w:t>
      </w:r>
    </w:p>
    <w:p w14:paraId="69BD0D72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14B9B1EC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确定 </w:t>
      </w:r>
      <w:proofErr w:type="spellStart"/>
      <w:r w:rsidRPr="000F6CA3">
        <w:rPr>
          <w:rFonts w:ascii="微软雅黑" w:eastAsia="微软雅黑" w:hAnsi="微软雅黑"/>
          <w:sz w:val="21"/>
          <w:szCs w:val="21"/>
        </w:rPr>
        <w:t>EPCare</w:t>
      </w:r>
      <w:r w:rsidRPr="000F6CA3">
        <w:rPr>
          <w:rFonts w:eastAsia="微软雅黑"/>
          <w:sz w:val="21"/>
          <w:szCs w:val="21"/>
        </w:rPr>
        <w:t>↔</w:t>
      </w:r>
      <w:r w:rsidRPr="000F6CA3">
        <w:rPr>
          <w:rFonts w:ascii="微软雅黑" w:eastAsia="微软雅黑" w:hAnsi="微软雅黑"/>
          <w:sz w:val="21"/>
          <w:szCs w:val="21"/>
        </w:rPr>
        <w:t>SAP</w:t>
      </w:r>
      <w:proofErr w:type="spellEnd"/>
      <w:r w:rsidRPr="000F6CA3">
        <w:rPr>
          <w:rFonts w:ascii="微软雅黑" w:eastAsia="微软雅黑" w:hAnsi="微软雅黑"/>
          <w:sz w:val="21"/>
          <w:szCs w:val="21"/>
        </w:rPr>
        <w:t xml:space="preserve"> 接口规格，服务流程账务处理方案</w:t>
      </w:r>
    </w:p>
    <w:p w14:paraId="33580C8B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Confirm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-SAP interface specs and service accounting approach.</w:t>
      </w:r>
    </w:p>
    <w:p w14:paraId="48A756C0" w14:textId="4961431A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69603D22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15D068F7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接口规格已定义，集成深度待决策；服务流程账务方案基本确认</w:t>
      </w:r>
    </w:p>
    <w:p w14:paraId="2B749DEE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集成两种方案：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A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完整集成（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3D2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双向实时同步，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15-20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天）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 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轻量集成（仅开票数据，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5-8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天）</w:t>
      </w:r>
    </w:p>
    <w:p w14:paraId="5FA58AF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质保索赔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3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场景：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A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中国工厂直发（不经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 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欧洲仓库发货（月底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结算）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 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先开票后索赔（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贷项凭证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冲抵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AR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44F78E6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质保准备金：仅中国公司设置和计提；欧洲公司不设准备金</w:t>
      </w:r>
    </w:p>
    <w:p w14:paraId="4C7A6AD3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结算：月底按净额（已赔付）与服务费模式与中国公司统一结算</w:t>
      </w:r>
    </w:p>
    <w:p w14:paraId="629F186F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3D2 Service Order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Mgmt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3XK In-House Repair / 5HR Warranty Claim Supplier Recovery</w:t>
      </w:r>
    </w:p>
    <w:p w14:paraId="207500B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D4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集成深度（完整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轻量）；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质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保数据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归属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(SAP vs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 D8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(3) 5HR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质保成本追偿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D9</w:t>
      </w:r>
    </w:p>
    <w:p w14:paraId="08154287" w14:textId="571293C4" w:rsidR="00DA27A9" w:rsidRPr="000F6CA3" w:rsidRDefault="00C85462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Interface specifications have been finalized, yet the integration depth remains to be determined; accounting solutions for service workflows are largely confirmed.</w:t>
      </w:r>
    </w:p>
    <w:p w14:paraId="32A5DAE2" w14:textId="77777777" w:rsidR="00DA27A9" w:rsidRPr="000F6CA3" w:rsidRDefault="00DA27A9" w:rsidP="00DA27A9">
      <w:pPr>
        <w:numPr>
          <w:ilvl w:val="0"/>
          <w:numId w:val="19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Two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integration options: Option A Full integration (bidirectional real-time synchronization via scope item 3D2, 15–20 man-days); Option B Lightweight integration (billing data transmission only, 5–8 man-days).</w:t>
      </w:r>
    </w:p>
    <w:p w14:paraId="1FCADF87" w14:textId="77777777" w:rsidR="00DA27A9" w:rsidRPr="000F6CA3" w:rsidRDefault="00DA27A9" w:rsidP="00DA27A9">
      <w:pPr>
        <w:numPr>
          <w:ilvl w:val="0"/>
          <w:numId w:val="19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Three warranty claim scenarios: A Direct delivery from China plant (without SAP processing); B 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Goods dispatched from European warehouses with month-end intercompany settlement; C Invoicing issued upfront with subsequent claims offset by credit memos against accounts receivable.</w:t>
      </w:r>
    </w:p>
    <w:p w14:paraId="44EE0633" w14:textId="77777777" w:rsidR="00DA27A9" w:rsidRPr="000F6CA3" w:rsidRDefault="00DA27A9" w:rsidP="00DA27A9">
      <w:pPr>
        <w:numPr>
          <w:ilvl w:val="0"/>
          <w:numId w:val="19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Warranty accrual provision: Provisions are only created and accrued by Chinese entities; European legal entities do not maintain such provisions.</w:t>
      </w:r>
    </w:p>
    <w:p w14:paraId="7A70A94B" w14:textId="77777777" w:rsidR="00DA27A9" w:rsidRPr="000F6CA3" w:rsidRDefault="00DA27A9" w:rsidP="00DA27A9">
      <w:pPr>
        <w:numPr>
          <w:ilvl w:val="0"/>
          <w:numId w:val="19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Intercompany settlement: Monthly consolidated settlement with China based on net compensated amounts under the service fee model.</w:t>
      </w:r>
    </w:p>
    <w:p w14:paraId="4F1B891F" w14:textId="77777777" w:rsidR="00DA27A9" w:rsidRPr="000F6CA3" w:rsidRDefault="00DA27A9" w:rsidP="00DA27A9">
      <w:pPr>
        <w:numPr>
          <w:ilvl w:val="0"/>
          <w:numId w:val="19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Relevant Scope Items: 3D2 Service Order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Mgmt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3XK In-House Repair / 5HR Warranty Claim Supplier Recovery</w:t>
      </w:r>
    </w:p>
    <w:p w14:paraId="334E10FF" w14:textId="483A561B" w:rsidR="00DA27A9" w:rsidRPr="000F6CA3" w:rsidRDefault="00C85462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54EEC533" w14:textId="77777777" w:rsidR="00DA27A9" w:rsidRPr="000F6CA3" w:rsidRDefault="00DA27A9" w:rsidP="00DA27A9">
      <w:pPr>
        <w:numPr>
          <w:ilvl w:val="0"/>
          <w:numId w:val="2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D4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integration depth (full integration vs lightweight integration);</w:t>
      </w:r>
    </w:p>
    <w:p w14:paraId="67102911" w14:textId="77777777" w:rsidR="00DA27A9" w:rsidRPr="000F6CA3" w:rsidRDefault="00DA27A9" w:rsidP="00DA27A9">
      <w:pPr>
        <w:numPr>
          <w:ilvl w:val="0"/>
          <w:numId w:val="2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D8 Ownership of warranty data (SAP vs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);</w:t>
      </w:r>
    </w:p>
    <w:p w14:paraId="72044E75" w14:textId="77777777" w:rsidR="00DA27A9" w:rsidRPr="000F6CA3" w:rsidRDefault="00DA27A9" w:rsidP="00DA27A9">
      <w:pPr>
        <w:numPr>
          <w:ilvl w:val="0"/>
          <w:numId w:val="2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D9 Recovery mechanism for warranty costs covered by 5HR.</w:t>
      </w:r>
    </w:p>
    <w:p w14:paraId="32EB669A" w14:textId="43AA212F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0BCC00CF" w14:textId="77777777" w:rsidR="004A612E" w:rsidRPr="000F6CA3" w:rsidRDefault="008622BD">
      <w:pPr>
        <w:pBdr>
          <w:bottom w:val="single" w:sz="6" w:space="0" w:color="2E75B6"/>
        </w:pBdr>
        <w:spacing w:before="2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6"/>
          <w:szCs w:val="26"/>
        </w:rPr>
        <w:t>4.6  租赁业务流程 L2C</w:t>
      </w:r>
    </w:p>
    <w:p w14:paraId="2C47B707" w14:textId="77777777" w:rsidR="004A612E" w:rsidRPr="000F6CA3" w:rsidRDefault="008622BD">
      <w:pPr>
        <w:spacing w:after="140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4.6  Lease</w:t>
      </w:r>
      <w:proofErr w:type="gramEnd"/>
      <w:r w:rsidRPr="000F6CA3">
        <w:rPr>
          <w:rFonts w:ascii="微软雅黑" w:eastAsia="微软雅黑" w:hAnsi="微软雅黑"/>
          <w:i/>
          <w:iCs/>
          <w:color w:val="2E75B6"/>
          <w:sz w:val="21"/>
          <w:szCs w:val="21"/>
        </w:rPr>
        <w:t>-to-Cash (L2C)</w:t>
      </w:r>
    </w:p>
    <w:p w14:paraId="5645595D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出租方 vehicle 同时具有'贸易物料'和'固定资产'双重身份：物料序列号（VIN）同时绑定固定资产档案（Equipment Master），通过 VIN 实现资产全生命周期追踪。</w:t>
      </w:r>
    </w:p>
    <w:p w14:paraId="3D822C1D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Leased vehicles carry a dual identity — trade material and fixed asset. The VIN simultaneously binds the serial number record and the Fixed Asset (Equipment Master).</w:t>
      </w:r>
    </w:p>
    <w:p w14:paraId="45E31A85" w14:textId="77777777" w:rsidR="004A612E" w:rsidRPr="000F6CA3" w:rsidRDefault="004A612E">
      <w:pPr>
        <w:spacing w:before="80" w:after="60"/>
        <w:rPr>
          <w:rFonts w:ascii="微软雅黑" w:eastAsia="微软雅黑" w:hAnsi="微软雅黑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4"/>
        <w:gridCol w:w="2727"/>
        <w:gridCol w:w="1368"/>
        <w:gridCol w:w="3895"/>
      </w:tblGrid>
      <w:tr w:rsidR="004A612E" w:rsidRPr="000F6CA3" w14:paraId="5A2121D2" w14:textId="77777777">
        <w:trPr>
          <w:tblHeader/>
        </w:trPr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47D2CD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方案 / Option</w:t>
            </w:r>
          </w:p>
        </w:tc>
        <w:tc>
          <w:tcPr>
            <w:tcW w:w="272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12D393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组件 / Components</w:t>
            </w:r>
          </w:p>
        </w:tc>
        <w:tc>
          <w:tcPr>
            <w:tcW w:w="136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EF91DB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复杂度 / Complexity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5F6DA4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最适合 / Best For</w:t>
            </w:r>
          </w:p>
        </w:tc>
      </w:tr>
      <w:tr w:rsidR="004A612E" w:rsidRPr="000F6CA3" w14:paraId="517BD365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41B666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1. SD 轻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量方案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SD Lightweight</w:t>
            </w:r>
          </w:p>
        </w:tc>
        <w:tc>
          <w:tcPr>
            <w:tcW w:w="272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A356E7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SD 合同 / SAP SD Contract</w:t>
            </w:r>
          </w:p>
        </w:tc>
        <w:tc>
          <w:tcPr>
            <w:tcW w:w="136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DAAEC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低 / Low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6FFE4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短期/简单经营租赁 / Short-term / Simple operating lease</w:t>
            </w:r>
          </w:p>
        </w:tc>
      </w:tr>
      <w:tr w:rsidR="004A612E" w:rsidRPr="000F6CA3" w14:paraId="4EA2D783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669BA7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2. CLM 标准 / CLM Standard</w:t>
            </w:r>
          </w:p>
        </w:tc>
        <w:tc>
          <w:tcPr>
            <w:tcW w:w="272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123028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CLM</w:t>
            </w:r>
          </w:p>
        </w:tc>
        <w:tc>
          <w:tcPr>
            <w:tcW w:w="136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23ED3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中高 / Medium-High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84F8B6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复杂合同，IFRS 16 / Complex contracts, IFRS 16</w:t>
            </w:r>
          </w:p>
        </w:tc>
      </w:tr>
      <w:tr w:rsidR="004A612E" w:rsidRPr="000F6CA3" w14:paraId="257317B7" w14:textId="77777777"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8329D2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3. CLM + RAR</w:t>
            </w:r>
          </w:p>
        </w:tc>
        <w:tc>
          <w:tcPr>
            <w:tcW w:w="272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8C47FF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CLM + Revenue Accounting &amp; Reporting</w:t>
            </w:r>
          </w:p>
        </w:tc>
        <w:tc>
          <w:tcPr>
            <w:tcW w:w="136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6F196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高 / High</w:t>
            </w:r>
          </w:p>
        </w:tc>
        <w:tc>
          <w:tcPr>
            <w:tcW w:w="389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22E4DF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含 IFRS 15 收入分摊 / Incl. IFRS 15 revenue allocation</w:t>
            </w:r>
          </w:p>
        </w:tc>
      </w:tr>
    </w:tbl>
    <w:p w14:paraId="4B61866B" w14:textId="77777777" w:rsidR="004A612E" w:rsidRPr="000F6CA3" w:rsidRDefault="008622BD">
      <w:pPr>
        <w:pBdr>
          <w:left w:val="single" w:sz="14" w:space="0" w:color="2E75B6"/>
        </w:pBdr>
        <w:shd w:val="clear" w:color="auto" w:fill="EBF2FA"/>
        <w:spacing w:before="120"/>
        <w:ind w:left="16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0"/>
          <w:szCs w:val="20"/>
        </w:rPr>
        <w:t>建议引入 CLM/RAR 专项顾问资源，蓝图阶段需提供真实租赁合同样本进行分析。</w:t>
      </w:r>
    </w:p>
    <w:p w14:paraId="776EA6E3" w14:textId="77777777" w:rsidR="004A612E" w:rsidRPr="000F6CA3" w:rsidRDefault="008622BD">
      <w:pPr>
        <w:pBdr>
          <w:left w:val="single" w:sz="14" w:space="0" w:color="2E75B6"/>
        </w:pBdr>
        <w:shd w:val="clear" w:color="auto" w:fill="EBF2FA"/>
        <w:spacing w:after="120"/>
        <w:ind w:left="16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19"/>
          <w:szCs w:val="19"/>
        </w:rPr>
        <w:t>A CLM/RAR specialist consultant resource is recommended. Real lease contract samples should be provided for Blueprint analysis.</w:t>
      </w:r>
    </w:p>
    <w:p w14:paraId="6B054182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43AEF98F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T12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T12</w:t>
      </w:r>
    </w:p>
    <w:p w14:paraId="2AA8BAFE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lastRenderedPageBreak/>
        <w:t xml:space="preserve">  租赁业务方案选择（L2C）</w:t>
      </w:r>
    </w:p>
    <w:p w14:paraId="261A6629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Leasing Solution Selection (L2C)</w:t>
      </w:r>
    </w:p>
    <w:p w14:paraId="5DCDFC19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424D36AE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欧洲租赁规模：多少台 vehicle、多少客户？租期分布（短租/长租）？</w:t>
      </w:r>
    </w:p>
    <w:p w14:paraId="273784C2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Leasing scale: How many vehicles and customers? Lease term distribution (short/long)?</w:t>
      </w:r>
    </w:p>
    <w:p w14:paraId="17ECCE43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合同是否含复杂条款（变动租金、购买选择权、延期选项）？</w:t>
      </w:r>
    </w:p>
    <w:p w14:paraId="72B19443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Do contracts contain complex terms (variable rent, purchase options, extension options)?</w:t>
      </w:r>
    </w:p>
    <w:p w14:paraId="2191C9D3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融资租赁 vs 经营租赁的判断：目前有没有分类矩阵？</w:t>
      </w:r>
    </w:p>
    <w:p w14:paraId="70F8645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Finance vs operating lease classification: Is there an existing classification matrix?</w:t>
      </w:r>
    </w:p>
    <w:p w14:paraId="042D47E7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能否提供 2-3 份代表性租赁合同样本供蓝图分析？</w:t>
      </w:r>
    </w:p>
    <w:p w14:paraId="582C1FB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Can 2-3 representative lease contracts be provided for Blueprint analysis?</w:t>
      </w:r>
    </w:p>
    <w:p w14:paraId="2FC89AAD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3DE29C5D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确定租赁方案（1/2/3），租赁 vehicle 固定资产设计</w:t>
      </w:r>
    </w:p>
    <w:p w14:paraId="3C272B68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Confirm leasing option (1/2/3) and leased vehicle fixed asset design.</w:t>
      </w:r>
    </w:p>
    <w:p w14:paraId="61D08469" w14:textId="53E61101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71A40341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3529D7A5" w14:textId="6C593540" w:rsidR="00A5160B" w:rsidRPr="000F6CA3" w:rsidRDefault="00C85462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方案倾向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CLM+RAR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组合（方案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3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），但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AGV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租赁未含本期蓝图</w:t>
      </w:r>
    </w:p>
    <w:p w14:paraId="22FCCFC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D9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决策推荐：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CLM+RAR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3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— IFRS 15/16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同时合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规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，捆绑销售场景</w:t>
      </w:r>
    </w:p>
    <w:p w14:paraId="04C74410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3QR Contract &amp; Lease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Mgmt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IFRS16 / 3QI Revenue Accounting IFRS15 / 1T6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21P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IFRS / 21Q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租出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3KK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基于合同收入确认</w:t>
      </w:r>
    </w:p>
    <w:p w14:paraId="762CFA4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LSE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业务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线独立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利润中心（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PC-XX-LSE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488FC48F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AGV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租赁：本期蓝图未含，标注待定</w:t>
      </w:r>
    </w:p>
    <w:p w14:paraId="58B0660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方案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1/2/3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最终选择需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BBP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决策；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AGV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租赁流程本期未含；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(3)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租赁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vehicle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固定资产设计细节未深入</w:t>
      </w:r>
    </w:p>
    <w:p w14:paraId="0ED25C7C" w14:textId="754ACC82" w:rsidR="00DA27A9" w:rsidRPr="000F6CA3" w:rsidRDefault="00C85462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 w:cs="Segoe UI Emoji" w:hint="eastAsia"/>
          <w:i/>
          <w:iCs/>
          <w:color w:val="666666"/>
          <w:sz w:val="19"/>
          <w:szCs w:val="19"/>
        </w:rPr>
        <w:t xml:space="preserve"> 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CLM plus RAR combination (Option 3) is the preferred solution; AGV leasing is excluded from the current blueprint scope.</w:t>
      </w:r>
    </w:p>
    <w:p w14:paraId="3732C469" w14:textId="77777777" w:rsidR="00DA27A9" w:rsidRPr="000F6CA3" w:rsidRDefault="00DA27A9" w:rsidP="00DA27A9">
      <w:pPr>
        <w:numPr>
          <w:ilvl w:val="0"/>
          <w:numId w:val="2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Recommendation under decision point D9: CLM + RAR (Option 3), compliant with both IFRS 15 and IFRS 16, applicable to bundled sales scenarios.</w:t>
      </w:r>
    </w:p>
    <w:p w14:paraId="31A5AEF0" w14:textId="77777777" w:rsidR="00DA27A9" w:rsidRPr="000F6CA3" w:rsidRDefault="00DA27A9" w:rsidP="00DA27A9">
      <w:pPr>
        <w:numPr>
          <w:ilvl w:val="0"/>
          <w:numId w:val="2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Related Scope Items: 3QR Contract &amp; Lease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Mgmt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IFRS16 / 3QI Revenue Accounting IFRS15 / 1T6 Lessee Accounting / 21P Lessee IFRS / 21Q Lessor Accounting / 3KK Contract-Based Revenue Recognition</w:t>
      </w:r>
    </w:p>
    <w:p w14:paraId="3C34E8E8" w14:textId="77777777" w:rsidR="00DA27A9" w:rsidRPr="000F6CA3" w:rsidRDefault="00DA27A9" w:rsidP="00DA27A9">
      <w:pPr>
        <w:numPr>
          <w:ilvl w:val="0"/>
          <w:numId w:val="2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Independent profit center dedicated to the LSE business line (PC-XX-LSE).</w:t>
      </w:r>
    </w:p>
    <w:p w14:paraId="54D7DD34" w14:textId="77777777" w:rsidR="00DA27A9" w:rsidRPr="000F6CA3" w:rsidRDefault="00DA27A9" w:rsidP="00DA27A9">
      <w:pPr>
        <w:numPr>
          <w:ilvl w:val="0"/>
          <w:numId w:val="2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AGV leasing: Not covered in the current blueprint, marked as pending.</w:t>
      </w:r>
    </w:p>
    <w:p w14:paraId="61A2E539" w14:textId="4FB531F8" w:rsidR="00DA27A9" w:rsidRPr="000F6CA3" w:rsidRDefault="00C85462" w:rsidP="00DA27A9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DA27A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4140AA3A" w14:textId="77777777" w:rsidR="00DA27A9" w:rsidRPr="000F6CA3" w:rsidRDefault="00DA27A9" w:rsidP="00DA27A9">
      <w:pPr>
        <w:numPr>
          <w:ilvl w:val="0"/>
          <w:numId w:val="2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Final selection among Option 1, 2 and 3 subject to BBP decision;</w:t>
      </w:r>
    </w:p>
    <w:p w14:paraId="68CF49D6" w14:textId="77777777" w:rsidR="00DA27A9" w:rsidRPr="000F6CA3" w:rsidRDefault="00DA27A9" w:rsidP="00DA27A9">
      <w:pPr>
        <w:numPr>
          <w:ilvl w:val="0"/>
          <w:numId w:val="2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AGV leasing process out of current scope;</w:t>
      </w:r>
    </w:p>
    <w:p w14:paraId="73507D9E" w14:textId="77777777" w:rsidR="00DA27A9" w:rsidRPr="000F6CA3" w:rsidRDefault="00DA27A9" w:rsidP="00DA27A9">
      <w:pPr>
        <w:numPr>
          <w:ilvl w:val="0"/>
          <w:numId w:val="22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Detailed fixed asset design for leased vehicles not elaborated.</w:t>
      </w:r>
    </w:p>
    <w:p w14:paraId="12A2682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39957A7F" w14:textId="0247AC1C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36892464" w14:textId="77777777" w:rsidR="004A612E" w:rsidRPr="000F6CA3" w:rsidRDefault="008622BD">
      <w:pPr>
        <w:pageBreakBefore/>
        <w:shd w:val="clear" w:color="auto" w:fill="1F3864"/>
        <w:spacing w:before="20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lastRenderedPageBreak/>
        <w:t>5.  财务合</w:t>
      </w:r>
      <w:proofErr w:type="gramStart"/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t>规</w:t>
      </w:r>
      <w:proofErr w:type="gramEnd"/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t>设计</w:t>
      </w:r>
    </w:p>
    <w:p w14:paraId="4645EA64" w14:textId="77777777" w:rsidR="004A612E" w:rsidRPr="000F6CA3" w:rsidRDefault="008622BD">
      <w:pPr>
        <w:shd w:val="clear" w:color="auto" w:fill="1F3864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>5.  Financial Compliance Design</w:t>
      </w:r>
    </w:p>
    <w:p w14:paraId="033DE4E9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7883654E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T13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T13</w:t>
      </w:r>
    </w:p>
    <w:p w14:paraId="63D2570C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科目表设计 · 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平行账套</w:t>
      </w:r>
      <w:proofErr w:type="gramEnd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· IFRS 15 收入确认</w:t>
      </w:r>
    </w:p>
    <w:p w14:paraId="176265EB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Chart of Accounts · Parallel Ledgers · IFRS 15</w:t>
      </w:r>
    </w:p>
    <w:p w14:paraId="34EC93D5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3"/>
        <w:gridCol w:w="1461"/>
        <w:gridCol w:w="4580"/>
      </w:tblGrid>
      <w:tr w:rsidR="004A612E" w:rsidRPr="000F6CA3" w14:paraId="029F9532" w14:textId="77777777">
        <w:trPr>
          <w:tblHeader/>
        </w:trPr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F0135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账套</w:t>
            </w:r>
            <w:proofErr w:type="gramEnd"/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 xml:space="preserve"> / Ledger</w:t>
            </w:r>
          </w:p>
        </w:tc>
        <w:tc>
          <w:tcPr>
            <w:tcW w:w="146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F22DCF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代码 / Code</w:t>
            </w:r>
          </w:p>
        </w:tc>
        <w:tc>
          <w:tcPr>
            <w:tcW w:w="458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783494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用途 / Purpose</w:t>
            </w:r>
          </w:p>
        </w:tc>
      </w:tr>
      <w:tr w:rsidR="004A612E" w:rsidRPr="000F6CA3" w14:paraId="3F20F936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F2B55A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主账（IFRS）/ Leading Ledger</w:t>
            </w:r>
          </w:p>
        </w:tc>
        <w:tc>
          <w:tcPr>
            <w:tcW w:w="146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C812A1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0L</w:t>
            </w:r>
          </w:p>
        </w:tc>
        <w:tc>
          <w:tcPr>
            <w:tcW w:w="458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38264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所有法人强制；集团合并基础 / Mandatory for all entities; Group consolidation basis</w:t>
            </w:r>
          </w:p>
        </w:tc>
      </w:tr>
      <w:tr w:rsidR="004A612E" w:rsidRPr="000F6CA3" w14:paraId="4884CE7E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F0565C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非主账（本地 GAAP）/ Non-Leading</w:t>
            </w:r>
          </w:p>
        </w:tc>
        <w:tc>
          <w:tcPr>
            <w:tcW w:w="146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D1EA05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LL</w:t>
            </w:r>
          </w:p>
        </w:tc>
        <w:tc>
          <w:tcPr>
            <w:tcW w:w="458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AFA1F0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FRS 102 / HGB / BGAAP — 本地法定申报 / Local statutory reporting</w:t>
            </w:r>
          </w:p>
        </w:tc>
      </w:tr>
      <w:tr w:rsidR="004A612E" w:rsidRPr="000F6CA3" w14:paraId="0DD50B1E" w14:textId="77777777"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9F2A32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管理账 / Management Ledger</w:t>
            </w:r>
          </w:p>
        </w:tc>
        <w:tc>
          <w:tcPr>
            <w:tcW w:w="1461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69A77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ML</w:t>
            </w:r>
          </w:p>
        </w:tc>
        <w:tc>
          <w:tcPr>
            <w:tcW w:w="4580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49948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集团管理层报告；内部 KPI / Group management reporting; internal KPI</w:t>
            </w:r>
          </w:p>
        </w:tc>
      </w:tr>
    </w:tbl>
    <w:p w14:paraId="41183738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590B3775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欧洲是否已按 IFRS 15 进行收入确认？目前的主要判断难点是什么？</w:t>
      </w:r>
    </w:p>
    <w:p w14:paraId="1E5B74B9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Is IFRS 15 revenue recognition already applied in Europe? What are the main current judgement challenges?</w:t>
      </w:r>
    </w:p>
    <w:p w14:paraId="3599A24B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2.  是否存在捆绑销售（vehicle +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延保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 xml:space="preserve"> + 服务包）？合同总价如何在各组件间分摊？</w:t>
      </w:r>
    </w:p>
    <w:p w14:paraId="61F3DCDA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there bundled sales (vehicle + extended warranty + service package)? How is the contract price allocated across components?</w:t>
      </w:r>
    </w:p>
    <w:p w14:paraId="636C8D95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集团 COA 的科目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号段如何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规划？是否有现有的集团财务编码规则参考？</w:t>
      </w:r>
    </w:p>
    <w:p w14:paraId="568066AB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How should the Group Chart of Accounts number ranges be structured? Is there an existing group financial coding reference?</w:t>
      </w:r>
    </w:p>
    <w:p w14:paraId="16EF8A49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4.  管理账（ML）的报告口径是否已有集团共识？具体调整项有哪些？</w:t>
      </w:r>
    </w:p>
    <w:p w14:paraId="7E98D607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Is there group consensus on the management ledger (ML) reporting basis? What are the specific adjustment items?</w:t>
      </w:r>
    </w:p>
    <w:p w14:paraId="4857BDA2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6912C9B0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集团科目表初稿、三套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账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差异科目清单、IFRS 15 收入确认规则、RAR 模块是否启用</w:t>
      </w:r>
    </w:p>
    <w:p w14:paraId="10D05CFA" w14:textId="77777777" w:rsidR="004A612E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Draft Group COA; three-ledger difference account mapping; IFRS 15 rules; RAR module activation decision.</w:t>
      </w:r>
    </w:p>
    <w:p w14:paraId="0B8D13AE" w14:textId="77777777" w:rsidR="00F82E69" w:rsidRPr="000F6CA3" w:rsidRDefault="00DA27A9" w:rsidP="00DA27A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  </w:t>
      </w:r>
    </w:p>
    <w:p w14:paraId="1DE617F2" w14:textId="3A476C2D" w:rsidR="00DA27A9" w:rsidRPr="000F6CA3" w:rsidRDefault="00DA27A9" w:rsidP="00DA27A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完整方案已设计：三套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账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平行、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RAR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欧洲启用、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IFRS 15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基于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Incoterms 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三套账：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0L = IFRS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（主账）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 LL =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本地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GAAP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FRS 102/HGB/BGAAP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 ML =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管理账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• IFRS 15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EXW → PGI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时点确认（单一履约义务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—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工厂交付）；非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EXW → POD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时点确认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• RAR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：欧洲三法人启用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3KK Contract-Based Revenue Recognition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（含捆绑服务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租赁场景）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集团科目表：统一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COA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，所有海外法人强制使用；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ETS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代理模式仅确认服务费收入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•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1GA Accounting Group Ledger IFRS / 32P Financial Close IFRS / 6VB Asset Accounting Local GAAP 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 xml:space="preserve">Depreciation </w:t>
      </w:r>
    </w:p>
    <w:p w14:paraId="5F6ABDBB" w14:textId="77777777" w:rsidR="00F82E69" w:rsidRPr="000F6CA3" w:rsidRDefault="00F82E69" w:rsidP="00F82E69">
      <w:pPr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集团科目表初稿（具体科目编码）未在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KB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中显示；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三套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账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差异科目清单未在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KB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中展开</w:t>
      </w:r>
    </w:p>
    <w:p w14:paraId="0AF63B51" w14:textId="49D67A74" w:rsidR="00F82E69" w:rsidRPr="000F6CA3" w:rsidRDefault="00C85462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 w:cs="Segoe UI Emoji" w:hint="eastAsia"/>
          <w:i/>
          <w:iCs/>
          <w:color w:val="666666"/>
          <w:sz w:val="19"/>
          <w:szCs w:val="19"/>
        </w:rPr>
        <w:t xml:space="preserve"> </w:t>
      </w:r>
      <w:r w:rsidR="00F82E6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Complete accounting solution finalized: three parallel ledgers, RAR activated for European entities, IFRS 15 revenue recognition governed by Incoterms.</w:t>
      </w:r>
    </w:p>
    <w:p w14:paraId="234E5291" w14:textId="77777777" w:rsidR="00F82E69" w:rsidRPr="000F6CA3" w:rsidRDefault="00F82E69" w:rsidP="00F82E69">
      <w:pPr>
        <w:numPr>
          <w:ilvl w:val="0"/>
          <w:numId w:val="23"/>
        </w:num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Three parallel ledgers: 0L = IFRS Leading Ledger; LL = Local GAAP Ledger (FRS 102 / HGB / Belgian GAAP); ML = Management Ledger.</w:t>
      </w:r>
    </w:p>
    <w:p w14:paraId="0EC24ABD" w14:textId="77777777" w:rsidR="00F82E69" w:rsidRPr="000F6CA3" w:rsidRDefault="00F82E69" w:rsidP="00F82E69">
      <w:pPr>
        <w:numPr>
          <w:ilvl w:val="0"/>
          <w:numId w:val="23"/>
        </w:num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IFRS 15 recognition rule: For EXW terms, revenue is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recognised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at PGI (single performance obligation upon plant delivery); for non-EXW terms, revenue is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recognised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upon POD confirmation.</w:t>
      </w:r>
    </w:p>
    <w:p w14:paraId="4EB9E1C4" w14:textId="77777777" w:rsidR="00F82E69" w:rsidRPr="000F6CA3" w:rsidRDefault="00F82E69" w:rsidP="00F82E69">
      <w:pPr>
        <w:numPr>
          <w:ilvl w:val="0"/>
          <w:numId w:val="23"/>
        </w:num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RAR deployment: Scope item 3KK Contract-Based Revenue Recognition activated for all three European legal entities, covering bundled service and leasing scenarios.</w:t>
      </w:r>
    </w:p>
    <w:p w14:paraId="4C170361" w14:textId="77777777" w:rsidR="00F82E69" w:rsidRPr="000F6CA3" w:rsidRDefault="00F82E69" w:rsidP="00F82E69">
      <w:pPr>
        <w:numPr>
          <w:ilvl w:val="0"/>
          <w:numId w:val="23"/>
        </w:num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Group Chart of Accounts: Unified COA mandatory for all overseas legal entities; ETS agency model only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recognises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service fee revenue.</w:t>
      </w:r>
    </w:p>
    <w:p w14:paraId="29E97EA6" w14:textId="77777777" w:rsidR="00F82E69" w:rsidRPr="000F6CA3" w:rsidRDefault="00F82E69" w:rsidP="00F82E69">
      <w:pPr>
        <w:numPr>
          <w:ilvl w:val="0"/>
          <w:numId w:val="23"/>
        </w:num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Items: 1GA Accounting Group Ledger IFRS / 32P Financial Close IFRS / 6VB Asset Accounting Local GAAP Depreciation</w:t>
      </w:r>
    </w:p>
    <w:p w14:paraId="5CF965E8" w14:textId="73153C4C" w:rsidR="00F82E69" w:rsidRPr="000F6CA3" w:rsidRDefault="00C85462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F82E69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66C75A82" w14:textId="77777777" w:rsidR="00F82E69" w:rsidRPr="000F6CA3" w:rsidRDefault="00F82E69" w:rsidP="00F82E69">
      <w:pPr>
        <w:numPr>
          <w:ilvl w:val="0"/>
          <w:numId w:val="24"/>
        </w:num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Draft group COA with detailed account codes not included in KB documents;</w:t>
      </w:r>
    </w:p>
    <w:p w14:paraId="5BA7EF8D" w14:textId="6F39D1A4" w:rsidR="00DA27A9" w:rsidRPr="000F6CA3" w:rsidRDefault="00F82E69" w:rsidP="00F82E69">
      <w:pPr>
        <w:numPr>
          <w:ilvl w:val="0"/>
          <w:numId w:val="24"/>
        </w:num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Detailed list of reconciling accounts for variances across three ledgers not elaborated in KB documents.</w:t>
      </w:r>
    </w:p>
    <w:p w14:paraId="248B95D9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5D485484" w14:textId="77777777" w:rsidR="00A5160B" w:rsidRPr="000F6CA3" w:rsidRDefault="00A5160B">
      <w:pPr>
        <w:shd w:val="clear" w:color="auto" w:fill="4472C4"/>
        <w:ind w:left="80" w:right="80"/>
        <w:rPr>
          <w:rFonts w:ascii="微软雅黑" w:eastAsia="微软雅黑" w:hAnsi="微软雅黑"/>
          <w:b/>
          <w:bCs/>
          <w:color w:val="FFFFFF"/>
        </w:rPr>
      </w:pPr>
    </w:p>
    <w:p w14:paraId="1A00740F" w14:textId="33CBD2AA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>专题讨论 T14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T14</w:t>
      </w:r>
    </w:p>
    <w:p w14:paraId="1E712F34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IFRS 16 出租方财务处理</w:t>
      </w:r>
    </w:p>
    <w:p w14:paraId="772CA9DD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IFRS 16 Lessor Accounting</w:t>
      </w:r>
    </w:p>
    <w:p w14:paraId="077D8A89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763857FF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欧洲现有租赁合同中，融资租赁与经营租赁的比例大致如何？判断依据是什么？</w:t>
      </w:r>
    </w:p>
    <w:p w14:paraId="6A94D49C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What proportion of existing European leases are finance vs. operating? What criteria are used to classify them?</w:t>
      </w:r>
    </w:p>
    <w:p w14:paraId="6AAD51FD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欧洲是否也有以承租方身份签订的租赁合同（办公室、车辆等）？是否需要在 SAP 中处理？</w:t>
      </w:r>
    </w:p>
    <w:p w14:paraId="162F57A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Does Europe also have leases where EP is the lessee (offices, vehicles, etc.)? Should these be processed in SAP?</w:t>
      </w:r>
    </w:p>
    <w:p w14:paraId="3141E44E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欧洲审计师对 IFRS 16 处理有哪些特别关注点？</w:t>
      </w:r>
    </w:p>
    <w:p w14:paraId="47E040E1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What specific IFRS 16 areas does Europe's auditor focus on?</w:t>
      </w:r>
    </w:p>
    <w:p w14:paraId="0125C897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218CFBF5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出租方 IFRS 16 账务处理规则，融资/经营租赁分类标准</w:t>
      </w:r>
    </w:p>
    <w:p w14:paraId="38AABB33" w14:textId="77777777" w:rsidR="004A612E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Lessor IFRS 16 accounting rules; finance/operating lease classification criteria.</w:t>
      </w:r>
    </w:p>
    <w:p w14:paraId="2E7D6550" w14:textId="77777777" w:rsidR="00F82E69" w:rsidRPr="000F6CA3" w:rsidRDefault="00F82E69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/ Actual Results]</w:t>
      </w:r>
    </w:p>
    <w:p w14:paraId="1BA4746C" w14:textId="77777777" w:rsidR="00F82E69" w:rsidRPr="000F6CA3" w:rsidRDefault="00F82E69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0F131C38" w14:textId="695B1264" w:rsidR="00F82E69" w:rsidRPr="000F6CA3" w:rsidRDefault="00F82E69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Scope Items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已定义，出租方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IFRS 16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账务处理规则未深入</w:t>
      </w:r>
    </w:p>
    <w:p w14:paraId="6B2E40AC" w14:textId="77777777" w:rsidR="00F82E69" w:rsidRPr="000F6CA3" w:rsidRDefault="00F82E69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已定义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21Q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租出会计（出租方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IFRS 16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/ 2SA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子租赁租出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IFRS / 2SB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子租赁协议</w:t>
      </w:r>
    </w:p>
    <w:p w14:paraId="6873E664" w14:textId="77777777" w:rsidR="00F82E69" w:rsidRPr="000F6CA3" w:rsidRDefault="00F82E69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租入会计已列入：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1T6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（欧洲适用）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/ 21P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（租入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IFRS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415A7759" w14:textId="77777777" w:rsidR="00F82E69" w:rsidRPr="000F6CA3" w:rsidRDefault="00F82E69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lastRenderedPageBreak/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欧洲适用法人：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UK/DE/BE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LSE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业务线独立核算</w:t>
      </w:r>
    </w:p>
    <w:p w14:paraId="46A1762F" w14:textId="062F3999" w:rsidR="00F82E69" w:rsidRPr="000F6CA3" w:rsidRDefault="00F82E69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3B3FD5A5" w14:textId="10AA12EE" w:rsidR="00F82E69" w:rsidRPr="000F6CA3" w:rsidRDefault="00F82E69" w:rsidP="00F82E69">
      <w:pPr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待确认：出租方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IFRS 16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账务处理规则（融资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vs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经营租赁分类标准、使用权资产计量、租金分摊模式），需参考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21Q/2SA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的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标准文档</w:t>
      </w:r>
    </w:p>
    <w:p w14:paraId="6B6C8937" w14:textId="77777777" w:rsidR="00C85462" w:rsidRPr="000F6CA3" w:rsidRDefault="00C85462" w:rsidP="00F82E69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59BB3D9E" w14:textId="473241FD" w:rsidR="00F82E69" w:rsidRPr="000F6CA3" w:rsidRDefault="00C85462" w:rsidP="00F82E69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F82E69"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All relevant Scope Items have been defined, yet the accounting rules for lessors under IFRS 16 are not specified in depth.</w:t>
      </w:r>
    </w:p>
    <w:p w14:paraId="7F37C045" w14:textId="77777777" w:rsidR="00F82E69" w:rsidRPr="000F6CA3" w:rsidRDefault="00F82E69" w:rsidP="00F82E69">
      <w:pPr>
        <w:numPr>
          <w:ilvl w:val="0"/>
          <w:numId w:val="25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Defined Scope Items: 21Q Lessor Accounting (IFRS 16 for Lessors), 2SA Sublease Lessor Accounting (IFRS), 2SB Sublease Contract Administration</w:t>
      </w:r>
    </w:p>
    <w:p w14:paraId="18D80A29" w14:textId="77777777" w:rsidR="00F82E69" w:rsidRPr="000F6CA3" w:rsidRDefault="00F82E69" w:rsidP="00F82E69">
      <w:pPr>
        <w:numPr>
          <w:ilvl w:val="0"/>
          <w:numId w:val="25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Included lessee accounting scopes: 1T6 (for European entities), 21P Lessee Accounting under IFRS</w:t>
      </w:r>
    </w:p>
    <w:p w14:paraId="330A7A5F" w14:textId="77777777" w:rsidR="00F82E69" w:rsidRPr="000F6CA3" w:rsidRDefault="00F82E69" w:rsidP="00F82E69">
      <w:pPr>
        <w:numPr>
          <w:ilvl w:val="0"/>
          <w:numId w:val="25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Applicable European legal entities: UK, Germany, Belgium; separate accounting is implemented for the LSE business line</w:t>
      </w:r>
    </w:p>
    <w:p w14:paraId="4D47C477" w14:textId="58B77255" w:rsidR="00F82E69" w:rsidRPr="000F6CA3" w:rsidRDefault="00C85462" w:rsidP="00F82E69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="00F82E69"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Pending confirmation:</w:t>
      </w:r>
    </w:p>
    <w:p w14:paraId="5548D774" w14:textId="3C09BACD" w:rsidR="00F82E69" w:rsidRPr="000F6CA3" w:rsidRDefault="00F82E69" w:rsidP="00F82E69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IFRS 16 accounting guidance for lessors, covering criteria to distinguish finance leases from operating leases, measurement of right-of-use assets and rent amortization allocation logic. The standard SAP documentation of 21Q and 2SA shall be referenced for detailed provisions.</w:t>
      </w:r>
    </w:p>
    <w:p w14:paraId="55B8D2D7" w14:textId="77777777" w:rsidR="00F82E69" w:rsidRPr="000F6CA3" w:rsidRDefault="00F82E69">
      <w:pPr>
        <w:spacing w:after="140"/>
        <w:rPr>
          <w:rFonts w:ascii="微软雅黑" w:eastAsia="微软雅黑" w:hAnsi="微软雅黑"/>
        </w:rPr>
      </w:pPr>
    </w:p>
    <w:p w14:paraId="08DC66AA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77612020" w14:textId="77777777" w:rsidR="00A5160B" w:rsidRPr="000F6CA3" w:rsidRDefault="00A5160B">
      <w:pPr>
        <w:shd w:val="clear" w:color="auto" w:fill="4472C4"/>
        <w:ind w:left="80" w:right="80"/>
        <w:rPr>
          <w:rFonts w:ascii="微软雅黑" w:eastAsia="微软雅黑" w:hAnsi="微软雅黑"/>
          <w:b/>
          <w:bCs/>
          <w:color w:val="FFFFFF"/>
        </w:rPr>
      </w:pPr>
    </w:p>
    <w:p w14:paraId="0A5B3C5C" w14:textId="6954DAF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专题讨论 T15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T15</w:t>
      </w:r>
    </w:p>
    <w:p w14:paraId="69275C87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欧洲双层合并结构与本地 GAAP 差异</w:t>
      </w:r>
    </w:p>
    <w:p w14:paraId="26158F58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Two-Tier Consolidation &amp; Local GAAP Differences</w:t>
      </w:r>
    </w:p>
    <w:p w14:paraId="2428F6D1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3"/>
        <w:gridCol w:w="3606"/>
        <w:gridCol w:w="3216"/>
      </w:tblGrid>
      <w:tr w:rsidR="004A612E" w:rsidRPr="000F6CA3" w14:paraId="7A9EAF2C" w14:textId="77777777">
        <w:trPr>
          <w:tblHeader/>
        </w:trPr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2916D3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合并层级 / Consolidation Tier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017C72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范围 / Scope</w:t>
            </w:r>
          </w:p>
        </w:tc>
        <w:tc>
          <w:tcPr>
            <w:tcW w:w="321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3FD36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产出 / Output</w:t>
            </w:r>
          </w:p>
        </w:tc>
      </w:tr>
      <w:tr w:rsidR="004A612E" w:rsidRPr="000F6CA3" w14:paraId="759C6E8F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4B31C2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第一层：欧洲子合并 / Tier 1: EU Sub-Consolidation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64ADC4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UK + Germany + Belgium → 消除内部交易 / Eliminate intercompany transactions</w:t>
            </w:r>
          </w:p>
        </w:tc>
        <w:tc>
          <w:tcPr>
            <w:tcW w:w="321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0F0814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欧洲子集团 IFRS 合并报表 / EU sub-group IFRS consolidated statements</w:t>
            </w:r>
          </w:p>
        </w:tc>
      </w:tr>
      <w:tr w:rsidR="004A612E" w:rsidRPr="000F6CA3" w14:paraId="45D14342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4A682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第二层：海外集团合并 / Tier 2: Overseas Group Consolidation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8956F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欧洲子集团 + 泰国 + Wave 2 → SAP Group Reporting</w:t>
            </w:r>
          </w:p>
        </w:tc>
        <w:tc>
          <w:tcPr>
            <w:tcW w:w="321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1DAE6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海外集团合并报表 / Overseas Group consolidated statements</w:t>
            </w:r>
          </w:p>
        </w:tc>
      </w:tr>
      <w:tr w:rsidR="004A612E" w:rsidRPr="000F6CA3" w14:paraId="0E63E5B4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80E19D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第三层（参考）：全集团 / Tier 3 (Reference): Full Group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00215F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与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对接 → 全集团合并 / Interface with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→ Full Group consolidation</w:t>
            </w:r>
          </w:p>
        </w:tc>
        <w:tc>
          <w:tcPr>
            <w:tcW w:w="321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B1060F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最终全集团财务报告 / Final full-group financial report</w:t>
            </w:r>
          </w:p>
        </w:tc>
      </w:tr>
    </w:tbl>
    <w:p w14:paraId="296FF04D" w14:textId="77777777" w:rsidR="004A612E" w:rsidRPr="000F6CA3" w:rsidRDefault="004A612E">
      <w:pPr>
        <w:spacing w:before="8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4"/>
        <w:gridCol w:w="1754"/>
        <w:gridCol w:w="5847"/>
      </w:tblGrid>
      <w:tr w:rsidR="004A612E" w:rsidRPr="000F6CA3" w14:paraId="503BB7B6" w14:textId="77777777">
        <w:trPr>
          <w:tblHeader/>
        </w:trPr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627F8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lastRenderedPageBreak/>
              <w:t>国家 / Country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BC2674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本地 GAAP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C0112D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主要与 IFRS 差异</w:t>
            </w:r>
          </w:p>
        </w:tc>
      </w:tr>
      <w:tr w:rsidR="004A612E" w:rsidRPr="000F6CA3" w14:paraId="5157BF82" w14:textId="77777777"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E03AE9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英国 / UK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E4D98C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FRS 102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1EB779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固定资产重估、金融工具 / Fixed asset revaluation; financial instruments</w:t>
            </w:r>
          </w:p>
        </w:tc>
      </w:tr>
      <w:tr w:rsidR="004A612E" w:rsidRPr="000F6CA3" w14:paraId="7698786E" w14:textId="77777777"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E5ACE6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德国 / Germany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ACCF4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HGB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99E2A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税务折旧 vs IFRS 折旧、准备金 / Tax vs IFRS depreciation; provisions</w:t>
            </w:r>
          </w:p>
        </w:tc>
      </w:tr>
      <w:tr w:rsidR="004A612E" w:rsidRPr="000F6CA3" w14:paraId="2B1B7C09" w14:textId="77777777"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250FF6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比利时 / Belgium</w:t>
            </w:r>
          </w:p>
        </w:tc>
        <w:tc>
          <w:tcPr>
            <w:tcW w:w="175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86324E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BGAAP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E8B8FE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资产重估、商誉 / Asset revaluation; goodwill</w:t>
            </w:r>
          </w:p>
        </w:tc>
      </w:tr>
    </w:tbl>
    <w:p w14:paraId="5872422E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3261C18B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欧洲三法人之间存在哪些集团内交易（内部销售、服务、借款）？</w:t>
      </w:r>
    </w:p>
    <w:p w14:paraId="6B4ABB60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What intercompany transactions exist between the three European entities?</w:t>
      </w:r>
    </w:p>
    <w:p w14:paraId="2D032F76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欧洲子合并的时间要求：月结后多少工作日需完成？</w:t>
      </w:r>
    </w:p>
    <w:p w14:paraId="6E4096C2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Time requirement for European sub-consolidation: how many working days after month-end?</w:t>
      </w:r>
    </w:p>
    <w:p w14:paraId="3EE488F6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3. 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英镑/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欧元：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英国退欧后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，UK</w:t>
      </w:r>
      <w:r w:rsidRPr="000F6CA3">
        <w:rPr>
          <w:rFonts w:eastAsia="微软雅黑"/>
          <w:sz w:val="21"/>
          <w:szCs w:val="21"/>
        </w:rPr>
        <w:t>↔</w:t>
      </w:r>
      <w:r w:rsidRPr="000F6CA3">
        <w:rPr>
          <w:rFonts w:ascii="微软雅黑" w:eastAsia="微软雅黑" w:hAnsi="微软雅黑"/>
          <w:sz w:val="21"/>
          <w:szCs w:val="21"/>
        </w:rPr>
        <w:t>EU 内部交易的汇率处理规则是什么？</w:t>
      </w:r>
    </w:p>
    <w:p w14:paraId="60672234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GBP/EUR: What are the exchange rate treatment rules for UK</w:t>
      </w:r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EU intercompany transactions post-Brexit?</w:t>
      </w:r>
    </w:p>
    <w:p w14:paraId="603F3330" w14:textId="77777777" w:rsidR="00A7603A" w:rsidRPr="000F6CA3" w:rsidRDefault="00A7603A" w:rsidP="00A7603A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 w:cs="宋体" w:hint="eastAsia"/>
          <w:b/>
          <w:bCs/>
          <w:color w:val="1F3864"/>
        </w:rPr>
        <w:t>预期产出</w:t>
      </w:r>
      <w:r w:rsidRPr="000F6CA3">
        <w:rPr>
          <w:rFonts w:ascii="微软雅黑" w:eastAsia="微软雅黑" w:hAnsi="微软雅黑"/>
          <w:b/>
          <w:bCs/>
          <w:color w:val="1F3864"/>
        </w:rPr>
        <w:t xml:space="preserve"> / Expected Output</w:t>
      </w:r>
    </w:p>
    <w:p w14:paraId="739BA35B" w14:textId="77777777" w:rsidR="00A7603A" w:rsidRPr="000F6CA3" w:rsidRDefault="00A7603A" w:rsidP="00A7603A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 w:cs="宋体" w:hint="eastAsia"/>
          <w:sz w:val="21"/>
          <w:szCs w:val="21"/>
        </w:rPr>
        <w:t>消除规则设计、合并日历、本地</w:t>
      </w:r>
      <w:r w:rsidRPr="000F6CA3">
        <w:rPr>
          <w:rFonts w:ascii="微软雅黑" w:eastAsia="微软雅黑" w:hAnsi="微软雅黑"/>
          <w:sz w:val="21"/>
          <w:szCs w:val="21"/>
        </w:rPr>
        <w:t xml:space="preserve"> GAAP vs IFRS </w:t>
      </w:r>
      <w:r w:rsidRPr="000F6CA3">
        <w:rPr>
          <w:rFonts w:ascii="微软雅黑" w:eastAsia="微软雅黑" w:hAnsi="微软雅黑" w:cs="宋体" w:hint="eastAsia"/>
          <w:sz w:val="21"/>
          <w:szCs w:val="21"/>
        </w:rPr>
        <w:t>差异调整科目清单</w:t>
      </w:r>
    </w:p>
    <w:p w14:paraId="34D6E1FB" w14:textId="77777777" w:rsidR="00A7603A" w:rsidRPr="000F6CA3" w:rsidRDefault="00A7603A" w:rsidP="00A7603A">
      <w:pPr>
        <w:spacing w:after="14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Elimination rules design; consolidation calendar; local GAAP-IFRS adjustment account mapping.</w:t>
      </w:r>
    </w:p>
    <w:p w14:paraId="165E4826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/ Actual Results]</w:t>
      </w:r>
    </w:p>
    <w:p w14:paraId="3A02A256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121A907E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合并架构已确认：双层合并；本地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GAAP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三套并行；差异调整机制已设计</w:t>
      </w:r>
    </w:p>
    <w:p w14:paraId="2025DDAF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双层合并：第一层欧洲子合并（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IC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交易消除）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第二层海外集团合并（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含鼎捷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数据）</w:t>
      </w:r>
    </w:p>
    <w:p w14:paraId="67B646FB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本地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GAAP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FRS 102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（英国）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/ HGB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（德国）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/ BGAAP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（比利时）</w:t>
      </w:r>
    </w:p>
    <w:p w14:paraId="56CE052A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平行折旧：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6VB Asset Accounting Local GAAP Depreciation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5HG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附加折旧范围</w:t>
      </w:r>
    </w:p>
    <w:p w14:paraId="38A9115F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IFRS </w:t>
      </w:r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本地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GAAP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差异科目过账机制已设计</w:t>
      </w:r>
    </w:p>
    <w:p w14:paraId="490C3FAE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1SG Group Reporting / 3XT Group Reporting Consolidation / 1GP Intercompany Financial Posting</w:t>
      </w:r>
    </w:p>
    <w:p w14:paraId="75F3CBB3" w14:textId="5A92004A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24DA9BE6" w14:textId="77777777" w:rsidR="008D3D9B" w:rsidRPr="000F6CA3" w:rsidRDefault="008D3D9B" w:rsidP="008D3D9B">
      <w:pPr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具体消除规则未详细展开；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合并日历未覆盖；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(3)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差异调整科目清单未覆盖</w:t>
      </w:r>
    </w:p>
    <w:p w14:paraId="15F67DB7" w14:textId="77777777" w:rsidR="008D3D9B" w:rsidRPr="000F6CA3" w:rsidRDefault="008D3D9B" w:rsidP="008D3D9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Elimination rules design, consolidation calendar, and list of adjustment accounts for variances between local GAAP and IFRS.</w:t>
      </w:r>
    </w:p>
    <w:p w14:paraId="6C54CC76" w14:textId="77777777" w:rsidR="008D3D9B" w:rsidRPr="000F6CA3" w:rsidRDefault="008D3D9B" w:rsidP="008D3D9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Consolidation structure confirmed: Two-tier consolidation with three parallel sets of local GAAP ledgers; variance adjustment mechanism designed.</w:t>
      </w:r>
    </w:p>
    <w:p w14:paraId="0C34C7A0" w14:textId="77777777" w:rsidR="008D3D9B" w:rsidRPr="000F6CA3" w:rsidRDefault="008D3D9B" w:rsidP="008D3D9B">
      <w:pPr>
        <w:numPr>
          <w:ilvl w:val="0"/>
          <w:numId w:val="2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Two-tier consolidation: Tier 1 European sub-consolidation (intercompany transaction elimination) → Tier 2 overseas group consolidation (including DIGIWIN data).</w:t>
      </w:r>
    </w:p>
    <w:p w14:paraId="5FDB093C" w14:textId="77777777" w:rsidR="008D3D9B" w:rsidRPr="000F6CA3" w:rsidRDefault="008D3D9B" w:rsidP="008D3D9B">
      <w:pPr>
        <w:numPr>
          <w:ilvl w:val="0"/>
          <w:numId w:val="2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Local GAAP frameworks: FRS 102 (UK), HGB (Germany), Belgian GAAP (EPBE).</w:t>
      </w:r>
    </w:p>
    <w:p w14:paraId="70FE20E7" w14:textId="77777777" w:rsidR="008D3D9B" w:rsidRPr="000F6CA3" w:rsidRDefault="008D3D9B" w:rsidP="008D3D9B">
      <w:pPr>
        <w:numPr>
          <w:ilvl w:val="0"/>
          <w:numId w:val="2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Parallel depreciation: Scope item 6VB Asset Accounting Local GAAP Depreciation and 5HG Additional Depreciation Areas.</w:t>
      </w:r>
    </w:p>
    <w:p w14:paraId="60414383" w14:textId="77777777" w:rsidR="008D3D9B" w:rsidRPr="000F6CA3" w:rsidRDefault="008D3D9B" w:rsidP="008D3D9B">
      <w:pPr>
        <w:numPr>
          <w:ilvl w:val="0"/>
          <w:numId w:val="2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>Posting mechanism for reconciling variances between IFRS and local GAAP has been designed.</w:t>
      </w:r>
    </w:p>
    <w:p w14:paraId="42C7F3B2" w14:textId="77777777" w:rsidR="008D3D9B" w:rsidRPr="000F6CA3" w:rsidRDefault="008D3D9B" w:rsidP="008D3D9B">
      <w:pPr>
        <w:numPr>
          <w:ilvl w:val="0"/>
          <w:numId w:val="26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Related Scope Items: 1SG Group Reporting / 3XT Group Reporting Consolidation / 1GP Intercompany Financial Posting</w:t>
      </w:r>
    </w:p>
    <w:p w14:paraId="3345A2B2" w14:textId="21602118" w:rsidR="008D3D9B" w:rsidRPr="000F6CA3" w:rsidRDefault="008D3D9B" w:rsidP="008D3D9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Pending confirmation:</w:t>
      </w:r>
    </w:p>
    <w:p w14:paraId="117F61C8" w14:textId="77777777" w:rsidR="008D3D9B" w:rsidRPr="000F6CA3" w:rsidRDefault="008D3D9B" w:rsidP="008D3D9B">
      <w:pPr>
        <w:numPr>
          <w:ilvl w:val="0"/>
          <w:numId w:val="2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Detailed elimination rules not fully elaborated;</w:t>
      </w:r>
    </w:p>
    <w:p w14:paraId="5ED6E456" w14:textId="77777777" w:rsidR="008D3D9B" w:rsidRPr="000F6CA3" w:rsidRDefault="008D3D9B" w:rsidP="008D3D9B">
      <w:pPr>
        <w:numPr>
          <w:ilvl w:val="0"/>
          <w:numId w:val="2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Consolidation calendar not documented;</w:t>
      </w:r>
    </w:p>
    <w:p w14:paraId="7502974C" w14:textId="77777777" w:rsidR="008D3D9B" w:rsidRPr="000F6CA3" w:rsidRDefault="008D3D9B" w:rsidP="008D3D9B">
      <w:pPr>
        <w:numPr>
          <w:ilvl w:val="0"/>
          <w:numId w:val="27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Complete list of variance adjustment accounts not provided.</w:t>
      </w:r>
    </w:p>
    <w:p w14:paraId="1F9AF2B8" w14:textId="77777777" w:rsidR="008D3D9B" w:rsidRPr="000F6CA3" w:rsidRDefault="008D3D9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5457A299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4105A339" w14:textId="5DB5A799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>专题讨论 T16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T16</w:t>
      </w:r>
    </w:p>
    <w:p w14:paraId="10538645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增值税 / Intrastat / 本地税务申报合</w:t>
      </w:r>
      <w:proofErr w:type="gramStart"/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>规</w:t>
      </w:r>
      <w:proofErr w:type="gramEnd"/>
    </w:p>
    <w:p w14:paraId="6F52C042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VAT / Intrastat / Local Tax Filing Compliance</w:t>
      </w:r>
    </w:p>
    <w:p w14:paraId="54A690D9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6"/>
        <w:gridCol w:w="3703"/>
        <w:gridCol w:w="3606"/>
      </w:tblGrid>
      <w:tr w:rsidR="004A612E" w:rsidRPr="000F6CA3" w14:paraId="0A621D42" w14:textId="77777777">
        <w:trPr>
          <w:tblHeader/>
        </w:trPr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0FABD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法人 / Entity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3F931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申报类型 / Filing Type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2F9F61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系统 / System</w:t>
            </w:r>
          </w:p>
        </w:tc>
      </w:tr>
      <w:tr w:rsidR="004A612E" w:rsidRPr="000F6CA3" w14:paraId="28CCEA70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109251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德国 / Germany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6E10BC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增值税月报 /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USt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-VA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8E512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ELSTER 直连</w:t>
            </w:r>
          </w:p>
        </w:tc>
      </w:tr>
      <w:tr w:rsidR="004A612E" w:rsidRPr="000F6CA3" w14:paraId="2AF08097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84AA24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比利时 / Belgium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2407B9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增值税季报 / Periodic VAT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ED2757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Intervat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申报</w:t>
            </w:r>
          </w:p>
        </w:tc>
      </w:tr>
      <w:tr w:rsidR="004A612E" w:rsidRPr="000F6CA3" w14:paraId="5161815B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81E31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英国 / UK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CF1D91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Making Tax Digital VAT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521811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HMRC MTD API</w:t>
            </w:r>
          </w:p>
        </w:tc>
      </w:tr>
      <w:tr w:rsidR="004A612E" w:rsidRPr="000F6CA3" w14:paraId="7FEE93F7" w14:textId="77777777">
        <w:tc>
          <w:tcPr>
            <w:tcW w:w="243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4AC568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德国·比利时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80440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Intrastat 月报</w:t>
            </w:r>
          </w:p>
        </w:tc>
        <w:tc>
          <w:tcPr>
            <w:tcW w:w="360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BF536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各国海关系统</w:t>
            </w:r>
          </w:p>
        </w:tc>
      </w:tr>
    </w:tbl>
    <w:p w14:paraId="7EAF78DE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2CBCCC85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欧洲三法人目前各用什么方式申报增值税？是否已使用电子申报系统？</w:t>
      </w:r>
    </w:p>
    <w:p w14:paraId="61FEC522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How does each European entity currently file VAT returns? Are electronic filing systems already in use?</w:t>
      </w:r>
    </w:p>
    <w:p w14:paraId="05DD99BF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2.  欧盟境内 B2B 销售（零税率）：欧洲团队如何核验客户的有效 VAT 号？需要 SAP 自动校验 VIES 吗？</w:t>
      </w:r>
    </w:p>
    <w:p w14:paraId="215FF98C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For intra-EU B2B sales (zero-rated): How does the team verify valid customer VAT numbers? Should SAP validate against VIES?</w:t>
      </w:r>
    </w:p>
    <w:p w14:paraId="79F53C6F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进口 vehicle（从中国到欧洲）的关税和进口 VAT 处理：目前流程是什么？</w:t>
      </w:r>
    </w:p>
    <w:p w14:paraId="501C6097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Import duty and import VAT on vehicles (China to Europe): What is the current process?</w:t>
      </w:r>
    </w:p>
    <w:p w14:paraId="6BB25AD8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3453F014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税务配置需求清单，本地税务接口技术方案，Intrastat 自动化范围</w:t>
      </w:r>
    </w:p>
    <w:p w14:paraId="64288153" w14:textId="77777777" w:rsidR="00BE0D17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Tax configuration requirements; local tax interface technical approach; Intrastat automation scope.</w:t>
      </w:r>
    </w:p>
    <w:p w14:paraId="7154B803" w14:textId="45B8F8AB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Actual Results]</w:t>
      </w:r>
    </w:p>
    <w:p w14:paraId="3D18D19D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4BAF234C" w14:textId="21BA72F8" w:rsidR="00A5160B" w:rsidRPr="000F6CA3" w:rsidRDefault="008D3D9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接口方案已定义，税务配置需求清单部分覆盖</w:t>
      </w:r>
    </w:p>
    <w:p w14:paraId="001B3875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lastRenderedPageBreak/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税务接口：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DE/BE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ELSTER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（德国）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/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Intervat</w:t>
      </w:r>
      <w:proofErr w:type="spell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（比利时）；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UK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MTD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Making Tax Digital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）</w:t>
      </w:r>
    </w:p>
    <w:p w14:paraId="17C3D947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银行接口：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DE/BE 16R Multi-Bank Connectivity (EBICS)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UK BACS</w:t>
      </w:r>
    </w:p>
    <w:p w14:paraId="1F10423F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Intrastat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自动化：在跨法人配件调拨风险中提及，自动化范围未明确</w:t>
      </w:r>
    </w:p>
    <w:p w14:paraId="764915EC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VAT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合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规</w:t>
      </w:r>
      <w:proofErr w:type="gramEnd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5D2 IC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流程中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F2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IV2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的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VAT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处理复杂需重点关注</w:t>
      </w:r>
    </w:p>
    <w:p w14:paraId="04B4003F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• Scope Items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1EG Bank Interface Integration / 16R Multi-Bank Connectivity</w:t>
      </w:r>
    </w:p>
    <w:p w14:paraId="2F8946DB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集成接口：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I-10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银行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EBICS(P0) / I-11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税务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(DE/BE, P0) / I-12 ATO(AU, P2) / I-13 NF-e/SPED(BR, P2)</w:t>
      </w:r>
    </w:p>
    <w:p w14:paraId="03F56D54" w14:textId="31051EB6" w:rsidR="00A5160B" w:rsidRPr="000F6CA3" w:rsidRDefault="008D3D9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待确认：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(1)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详细税务配置需求清单（税务代码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增值税率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/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申报周期）未覆盖；</w:t>
      </w:r>
      <w:r w:rsidR="00A5160B"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(2) Intrastat </w:t>
      </w:r>
      <w:r w:rsidR="00A5160B"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自动化范围待确认</w:t>
      </w:r>
    </w:p>
    <w:p w14:paraId="51647E79" w14:textId="77777777" w:rsidR="00A5160B" w:rsidRPr="000F6CA3" w:rsidRDefault="00A5160B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363F1807" w14:textId="174D07A8" w:rsidR="008D3D9B" w:rsidRPr="000F6CA3" w:rsidRDefault="008D3D9B" w:rsidP="008D3D9B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 xml:space="preserve"> Interface solutions have been defined, while the full list of tax configuration requirements is only partially covered.</w:t>
      </w:r>
    </w:p>
    <w:p w14:paraId="2D899072" w14:textId="77777777" w:rsidR="008D3D9B" w:rsidRPr="000F6CA3" w:rsidRDefault="008D3D9B" w:rsidP="008D3D9B">
      <w:pPr>
        <w:numPr>
          <w:ilvl w:val="0"/>
          <w:numId w:val="28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 xml:space="preserve">Tax reporting interfaces: ELSTER for Germany, </w:t>
      </w:r>
      <w:proofErr w:type="spellStart"/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Intervat</w:t>
      </w:r>
      <w:proofErr w:type="spellEnd"/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 xml:space="preserve"> for Belgium; MTD (Making Tax Digital) for the UK.</w:t>
      </w:r>
    </w:p>
    <w:p w14:paraId="11773F55" w14:textId="77777777" w:rsidR="008D3D9B" w:rsidRPr="000F6CA3" w:rsidRDefault="008D3D9B" w:rsidP="008D3D9B">
      <w:pPr>
        <w:numPr>
          <w:ilvl w:val="0"/>
          <w:numId w:val="28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Bank connectivity interfaces: 16R Multi-Bank Connectivity via EBICS for Germany and Belgium; BACS for the UK.</w:t>
      </w:r>
    </w:p>
    <w:p w14:paraId="26C55228" w14:textId="77777777" w:rsidR="008D3D9B" w:rsidRPr="000F6CA3" w:rsidRDefault="008D3D9B" w:rsidP="008D3D9B">
      <w:pPr>
        <w:numPr>
          <w:ilvl w:val="0"/>
          <w:numId w:val="28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Automated Intrastat reporting: Mentioned within cross-entity spare parts transfer risks, yet the exact automation scope remains undefined.</w:t>
      </w:r>
    </w:p>
    <w:p w14:paraId="7AED9DCC" w14:textId="77777777" w:rsidR="008D3D9B" w:rsidRPr="000F6CA3" w:rsidRDefault="008D3D9B" w:rsidP="008D3D9B">
      <w:pPr>
        <w:numPr>
          <w:ilvl w:val="0"/>
          <w:numId w:val="28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VAT compliance note: VAT handling for F2 and IV2 under 5D2 intercompany sales process is complex and requires focused attention.</w:t>
      </w:r>
    </w:p>
    <w:p w14:paraId="08CB9013" w14:textId="77777777" w:rsidR="008D3D9B" w:rsidRPr="000F6CA3" w:rsidRDefault="008D3D9B" w:rsidP="008D3D9B">
      <w:pPr>
        <w:numPr>
          <w:ilvl w:val="0"/>
          <w:numId w:val="28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Related Scope Items: 1EG Bank Interface Integration / 16R Multi-Bank Connectivity</w:t>
      </w:r>
    </w:p>
    <w:p w14:paraId="0462F136" w14:textId="77777777" w:rsidR="008D3D9B" w:rsidRPr="000F6CA3" w:rsidRDefault="008D3D9B" w:rsidP="008D3D9B">
      <w:pPr>
        <w:numPr>
          <w:ilvl w:val="0"/>
          <w:numId w:val="28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Defined integration interfaces:</w:t>
      </w:r>
    </w:p>
    <w:p w14:paraId="62CC62F5" w14:textId="77777777" w:rsidR="008D3D9B" w:rsidRPr="000F6CA3" w:rsidRDefault="008D3D9B" w:rsidP="008D3D9B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I-10 EBICS bank interface (P0), I-11 Tax reporting (Germany/Belgium, P0), I-12 ATO Australia (P2), I-13 NF-e/SPED Brazil (P2)</w:t>
      </w:r>
    </w:p>
    <w:p w14:paraId="6D1969DC" w14:textId="28BCC237" w:rsidR="008D3D9B" w:rsidRPr="000F6CA3" w:rsidRDefault="008D3D9B" w:rsidP="008D3D9B">
      <w:p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 xml:space="preserve"> Pending confirmation items:</w:t>
      </w:r>
    </w:p>
    <w:p w14:paraId="02FF2179" w14:textId="77777777" w:rsidR="008D3D9B" w:rsidRPr="000F6CA3" w:rsidRDefault="008D3D9B" w:rsidP="008D3D9B">
      <w:pPr>
        <w:numPr>
          <w:ilvl w:val="0"/>
          <w:numId w:val="29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Detailed tax configuration checklist (tax codes, VAT rates, filing cycles) not documented;</w:t>
      </w:r>
    </w:p>
    <w:p w14:paraId="10B3DEE0" w14:textId="77777777" w:rsidR="008D3D9B" w:rsidRPr="000F6CA3" w:rsidRDefault="008D3D9B" w:rsidP="008D3D9B">
      <w:pPr>
        <w:numPr>
          <w:ilvl w:val="0"/>
          <w:numId w:val="29"/>
        </w:numPr>
        <w:spacing w:after="140"/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cs="宋体"/>
          <w:i/>
          <w:iCs/>
          <w:color w:val="666666"/>
          <w:sz w:val="19"/>
          <w:szCs w:val="19"/>
        </w:rPr>
        <w:t>Scope of automated Intrastat reporting to be finalized.</w:t>
      </w:r>
    </w:p>
    <w:p w14:paraId="132E006B" w14:textId="796FCEFB" w:rsidR="004A612E" w:rsidRPr="000F6CA3" w:rsidRDefault="004A612E">
      <w:pPr>
        <w:spacing w:after="140"/>
        <w:rPr>
          <w:rFonts w:ascii="微软雅黑" w:eastAsia="微软雅黑" w:hAnsi="微软雅黑"/>
        </w:rPr>
      </w:pPr>
    </w:p>
    <w:p w14:paraId="66D2B17B" w14:textId="77777777" w:rsidR="004A612E" w:rsidRPr="000F6CA3" w:rsidRDefault="008622BD">
      <w:pPr>
        <w:pageBreakBefore/>
        <w:shd w:val="clear" w:color="auto" w:fill="1F3864"/>
        <w:spacing w:before="20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lastRenderedPageBreak/>
        <w:t>6.  IT 集成架构</w:t>
      </w:r>
    </w:p>
    <w:p w14:paraId="2AADE5EE" w14:textId="24C4865A" w:rsidR="004A612E" w:rsidRPr="000F6CA3" w:rsidRDefault="008622BD" w:rsidP="00970E70">
      <w:pPr>
        <w:shd w:val="clear" w:color="auto" w:fill="1F3864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>6.  IT Integration Architecture</w:t>
      </w:r>
    </w:p>
    <w:p w14:paraId="6C5AA9D5" w14:textId="77777777" w:rsidR="004A612E" w:rsidRPr="000F6CA3" w:rsidRDefault="004A612E">
      <w:pPr>
        <w:spacing w:before="160"/>
        <w:rPr>
          <w:rFonts w:ascii="微软雅黑" w:eastAsia="微软雅黑" w:hAnsi="微软雅黑"/>
        </w:rPr>
      </w:pPr>
    </w:p>
    <w:p w14:paraId="6D32506E" w14:textId="77777777" w:rsidR="004A612E" w:rsidRPr="000F6CA3" w:rsidRDefault="008622BD">
      <w:pPr>
        <w:shd w:val="clear" w:color="auto" w:fill="4472C4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</w:rPr>
        <w:t xml:space="preserve">  专题讨论 T17</w:t>
      </w:r>
      <w:r w:rsidRPr="000F6CA3">
        <w:rPr>
          <w:rFonts w:ascii="微软雅黑" w:eastAsia="微软雅黑" w:hAnsi="微软雅黑"/>
          <w:i/>
          <w:iCs/>
          <w:color w:val="D6E4F0"/>
          <w:sz w:val="18"/>
          <w:szCs w:val="18"/>
        </w:rPr>
        <w:t xml:space="preserve">    Workshop T17</w:t>
      </w:r>
    </w:p>
    <w:p w14:paraId="3E447622" w14:textId="77777777" w:rsidR="004A612E" w:rsidRPr="000F6CA3" w:rsidRDefault="008622BD">
      <w:pPr>
        <w:shd w:val="clear" w:color="auto" w:fill="D6E4F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  <w:sz w:val="23"/>
          <w:szCs w:val="23"/>
        </w:rPr>
        <w:t xml:space="preserve">  IT 集成架构与接口优先级</w:t>
      </w:r>
    </w:p>
    <w:p w14:paraId="6374DF06" w14:textId="77777777" w:rsidR="004A612E" w:rsidRPr="000F6CA3" w:rsidRDefault="008622BD">
      <w:pPr>
        <w:shd w:val="clear" w:color="auto" w:fill="D6E4F0"/>
        <w:spacing w:after="100"/>
        <w:ind w:left="80" w:right="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2E75B6"/>
          <w:sz w:val="20"/>
          <w:szCs w:val="20"/>
        </w:rPr>
        <w:t xml:space="preserve">  IT Integration Architecture &amp; Interface Priorities</w:t>
      </w:r>
    </w:p>
    <w:p w14:paraId="159CDFDE" w14:textId="77777777" w:rsidR="004A612E" w:rsidRPr="000F6CA3" w:rsidRDefault="004A612E">
      <w:pPr>
        <w:spacing w:before="60" w:after="4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4"/>
        <w:gridCol w:w="2144"/>
        <w:gridCol w:w="4678"/>
        <w:gridCol w:w="2339"/>
      </w:tblGrid>
      <w:tr w:rsidR="004A612E" w:rsidRPr="000F6CA3" w14:paraId="32E7AB7C" w14:textId="77777777">
        <w:trPr>
          <w:tblHeader/>
        </w:trPr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E4516B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#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B849C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方向 / Direction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97C90C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内容 / Content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ACA6DE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优先级 / Priority</w:t>
            </w:r>
          </w:p>
        </w:tc>
      </w:tr>
      <w:tr w:rsidR="004A612E" w:rsidRPr="000F6CA3" w14:paraId="30DF7630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CAA891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1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55A176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SAP →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C41124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集团内采购订单 / Intercompany PO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7660BC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P1 Wave 1 ★</w:t>
            </w:r>
          </w:p>
        </w:tc>
      </w:tr>
      <w:tr w:rsidR="004A612E" w:rsidRPr="000F6CA3" w14:paraId="7ED19FEF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C5EA8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2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EC3F84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→ SAP /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→ SAP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F1828C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发货通知/在途库存 / Shipment notice / In-transit stock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E0956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P1 Wave 1 ★</w:t>
            </w:r>
          </w:p>
        </w:tc>
      </w:tr>
      <w:tr w:rsidR="004A612E" w:rsidRPr="000F6CA3" w14:paraId="2B7548A1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AF1812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3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DF442E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TC-PLM/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→ SAP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EB694C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物料主数据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同步 / Material master data sync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770E8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P1 Wave 1 ★</w:t>
            </w:r>
          </w:p>
        </w:tc>
      </w:tr>
      <w:tr w:rsidR="004A612E" w:rsidRPr="000F6CA3" w14:paraId="72846216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701E6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4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14C48E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→ SAP / Month-end data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696028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月结合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并数据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Month-end consolidation data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3EB3CB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P1 Wave 1 ★</w:t>
            </w:r>
          </w:p>
        </w:tc>
      </w:tr>
      <w:tr w:rsidR="004A612E" w:rsidRPr="000F6CA3" w14:paraId="3CD00F60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B3D5A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5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D179A9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SAP </w:t>
            </w:r>
            <w:r w:rsidRPr="000F6CA3">
              <w:rPr>
                <w:rFonts w:eastAsia="微软雅黑"/>
                <w:sz w:val="19"/>
                <w:szCs w:val="19"/>
              </w:rPr>
              <w:t>↔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D918A0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VIN/客户档案 · 配件出库 · 服务开票 / VIN/Customer master · Parts GI · Service billing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369618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P1 Wave 1 ★</w:t>
            </w:r>
          </w:p>
        </w:tc>
      </w:tr>
      <w:tr w:rsidR="004A612E" w:rsidRPr="000F6CA3" w14:paraId="2D43B19F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4EAB5B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6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B49C6C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SAP </w:t>
            </w:r>
            <w:r w:rsidRPr="000F6CA3">
              <w:rPr>
                <w:rFonts w:eastAsia="微软雅黑"/>
                <w:sz w:val="19"/>
                <w:szCs w:val="19"/>
              </w:rPr>
              <w:t>↔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银行 / Bank DE/BE/UK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85CB5D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付款文件/对账单 / Payment files / Bank statements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B7B26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P1 Wave 1 ★</w:t>
            </w:r>
          </w:p>
        </w:tc>
      </w:tr>
      <w:tr w:rsidR="004A612E" w:rsidRPr="000F6CA3" w14:paraId="06D7AF11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901EDF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7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11ED7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→ 税务局 / Tax Authority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CD01A4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增值税申报 / VAT filing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8C7E5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P1 Wave 1 ★</w:t>
            </w:r>
          </w:p>
        </w:tc>
      </w:tr>
      <w:tr w:rsidR="004A612E" w:rsidRPr="000F6CA3" w14:paraId="7426D443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63E28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8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1F686E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SAP </w:t>
            </w:r>
            <w:r w:rsidRPr="000F6CA3">
              <w:rPr>
                <w:rFonts w:eastAsia="微软雅黑"/>
                <w:sz w:val="19"/>
                <w:szCs w:val="19"/>
              </w:rPr>
              <w:t>↔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Webshop</w:t>
            </w:r>
            <w:proofErr w:type="spellEnd"/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9A2EDD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在线订单/库存/价格 / Online orders / Inventory / Pricing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A8A3BD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P2 Blueprint TBC</w:t>
            </w:r>
          </w:p>
        </w:tc>
      </w:tr>
      <w:tr w:rsidR="004A612E" w:rsidRPr="000F6CA3" w14:paraId="44FA4D69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0AA05C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9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5AC6B7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N2F → SAP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2A2F18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费用报销凭证 / Expense reimbursement documents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019485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P2 Blueprint TBC</w:t>
            </w:r>
          </w:p>
        </w:tc>
      </w:tr>
      <w:tr w:rsidR="004A612E" w:rsidRPr="000F6CA3" w14:paraId="12484E86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1789A5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10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C7179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飞仓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→ SAP / Consignment → SAP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2DFBC1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寄售库存变动 / Consignment stock movements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40855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P2 Blueprint TBC</w:t>
            </w:r>
          </w:p>
        </w:tc>
      </w:tr>
      <w:tr w:rsidR="004A612E" w:rsidRPr="000F6CA3" w14:paraId="417D97E0" w14:textId="77777777">
        <w:tc>
          <w:tcPr>
            <w:tcW w:w="58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AF91E1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11</w:t>
            </w:r>
          </w:p>
        </w:tc>
        <w:tc>
          <w:tcPr>
            <w:tcW w:w="2144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203D65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→ 海关 / Customs DE/BE</w:t>
            </w:r>
          </w:p>
        </w:tc>
        <w:tc>
          <w:tcPr>
            <w:tcW w:w="467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842587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Intrastat 申报 / Intrastat filing</w:t>
            </w:r>
          </w:p>
        </w:tc>
        <w:tc>
          <w:tcPr>
            <w:tcW w:w="233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448A20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P2 Blueprint TBC</w:t>
            </w:r>
          </w:p>
        </w:tc>
      </w:tr>
    </w:tbl>
    <w:p w14:paraId="0A384D56" w14:textId="77777777" w:rsidR="004A612E" w:rsidRPr="000F6CA3" w:rsidRDefault="008622BD">
      <w:pPr>
        <w:spacing w:before="140" w:after="6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讨论问题 / Key Questions</w:t>
      </w:r>
    </w:p>
    <w:p w14:paraId="2CFB915E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1.  EP 是否已采购 BTP？若无，计划何时，或备选方案是什么？</w:t>
      </w:r>
    </w:p>
    <w:p w14:paraId="4A0494AC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Has EP purchased BTP? If not, when is it planned, or what is the alternative?</w:t>
      </w:r>
    </w:p>
    <w:p w14:paraId="2CC855F0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lastRenderedPageBreak/>
        <w:t xml:space="preserve">2.  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鼎捷方面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谁负责配合接口开发？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鼎捷是否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已有 API 能力？</w:t>
      </w:r>
    </w:p>
    <w:p w14:paraId="1C95AEA8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Who on the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side is responsible for interface development? Does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Digiwin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already have API capabilities?</w:t>
      </w:r>
    </w:p>
    <w:p w14:paraId="355A2E09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3.  欧洲三法人的银行是否支持 CAMT.053 格式的电子对账单？</w:t>
      </w:r>
    </w:p>
    <w:p w14:paraId="5FA4E24A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Do all three European entities' banks support CAMT.053 electronic bank statements?</w:t>
      </w:r>
    </w:p>
    <w:p w14:paraId="538A149D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 xml:space="preserve">4.  </w:t>
      </w:r>
      <w:proofErr w:type="spellStart"/>
      <w:r w:rsidRPr="000F6CA3">
        <w:rPr>
          <w:rFonts w:ascii="微软雅黑" w:eastAsia="微软雅黑" w:hAnsi="微软雅黑"/>
          <w:sz w:val="21"/>
          <w:szCs w:val="21"/>
        </w:rPr>
        <w:t>Webshop</w:t>
      </w:r>
      <w:proofErr w:type="spellEnd"/>
      <w:r w:rsidRPr="000F6CA3">
        <w:rPr>
          <w:rFonts w:ascii="微软雅黑" w:eastAsia="微软雅黑" w:hAnsi="微软雅黑"/>
          <w:sz w:val="21"/>
          <w:szCs w:val="21"/>
        </w:rPr>
        <w:t xml:space="preserve"> 集成是否必须纳入 Wave 1 范围？</w:t>
      </w:r>
    </w:p>
    <w:p w14:paraId="73459BCE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Must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Webshop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integration be included in Wave 1 scope?</w:t>
      </w:r>
    </w:p>
    <w:p w14:paraId="507726B2" w14:textId="77777777" w:rsidR="004A612E" w:rsidRPr="000F6CA3" w:rsidRDefault="008622BD">
      <w:pPr>
        <w:spacing w:before="100" w:after="20"/>
        <w:ind w:left="2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5.  除上述系统外，欧洲是否还有其他需要与 SAP 对接的本地系统（CRM/仓储/报关）？</w:t>
      </w:r>
    </w:p>
    <w:p w14:paraId="0614540F" w14:textId="77777777" w:rsidR="004A612E" w:rsidRPr="000F6CA3" w:rsidRDefault="008622BD">
      <w:pPr>
        <w:spacing w:after="80"/>
        <w:ind w:left="38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Are there other local European systems needing SAP integration (CRM/WMS/customs filing)?</w:t>
      </w:r>
    </w:p>
    <w:p w14:paraId="54E96B4F" w14:textId="77777777" w:rsidR="004A612E" w:rsidRPr="000F6CA3" w:rsidRDefault="008622BD">
      <w:pPr>
        <w:spacing w:before="14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1F3864"/>
        </w:rPr>
        <w:t>预期产出 / Expected Output</w:t>
      </w:r>
    </w:p>
    <w:p w14:paraId="19C6A7D1" w14:textId="77777777" w:rsidR="004A612E" w:rsidRPr="000F6CA3" w:rsidRDefault="008622BD">
      <w:pPr>
        <w:spacing w:after="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接口完整清单与 Wave 1/2 优先级，BTP 采购状态，接口技术规格草案</w:t>
      </w:r>
    </w:p>
    <w:p w14:paraId="7520C8E6" w14:textId="77777777" w:rsidR="004A612E" w:rsidRPr="000F6CA3" w:rsidRDefault="008622BD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Complete interface list with Wave 1/2 priorities; BTP purchase status; draft interface technical specs.</w:t>
      </w:r>
    </w:p>
    <w:p w14:paraId="047EE9E1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[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实际结果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/ Actual Results]</w:t>
      </w:r>
    </w:p>
    <w:p w14:paraId="13DF10F7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6F9A9E5B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接口完整清单已定义，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BTP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采购状态明确，技术规格已草案</w:t>
      </w:r>
    </w:p>
    <w:p w14:paraId="19BA05F7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接口（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Wave 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必须）：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I-1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</w:t>
      </w:r>
      <w:proofErr w:type="gramEnd"/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SAP MTO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采购联动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I-2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</w:t>
      </w:r>
      <w:proofErr w:type="gram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→SAP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发货在途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I-3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合并数据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I-4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管理报表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I-5 TC-PLM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→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SAP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物料同步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I-10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银行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EBICS / I-11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税务直连</w:t>
      </w:r>
    </w:p>
    <w:p w14:paraId="1083A6C8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P1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接口：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I-6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SAP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I-7 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飞仓</w:t>
      </w:r>
      <w:proofErr w:type="gramEnd"/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SAP / I-8 N2F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费用报销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/ I-9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Webshop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产品目录</w:t>
      </w:r>
    </w:p>
    <w:p w14:paraId="25A1F62A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AGV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专属接口：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I-A1~I-A8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（其中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I-A1~I-A4 P0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新增：物料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/SN/PO/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在途）</w:t>
      </w:r>
    </w:p>
    <w:p w14:paraId="516D62E0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备件接口：与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</w:t>
      </w:r>
      <w:proofErr w:type="spellStart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(I-E1)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</w:t>
      </w:r>
      <w:proofErr w:type="spellStart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-WMS(I-W1~I-W3)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</w:t>
      </w:r>
      <w:proofErr w:type="gramStart"/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鼎捷</w:t>
      </w:r>
      <w:proofErr w:type="gramEnd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(I-D1~I-D2)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DAS(I-F1~I-F2)</w:t>
      </w:r>
    </w:p>
    <w:p w14:paraId="6C771F5D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技术方式：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OData API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（主要）、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EBICS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、税务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API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、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REST/SOAP</w:t>
      </w:r>
    </w:p>
    <w:p w14:paraId="30FB1385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•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BTP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采购状态：</w:t>
      </w: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未确认采购；若未采购可采用第三方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ESB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或直连点对点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OData API</w:t>
      </w:r>
    </w:p>
    <w:p w14:paraId="2B289BFA" w14:textId="77777777" w:rsidR="00BE0D17" w:rsidRPr="000F6CA3" w:rsidRDefault="00BE0D17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• 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来源：</w:t>
      </w:r>
      <w:proofErr w:type="spellStart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KB_ScopeItem</w:t>
      </w:r>
      <w:proofErr w:type="spellEnd"/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 xml:space="preserve"> §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八；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EP_BP_OTC_v2.0 §2.5, §4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EP_BP_T19_AGV §4</w:t>
      </w:r>
      <w:r w:rsidRPr="000F6CA3">
        <w:rPr>
          <w:rFonts w:ascii="微软雅黑" w:eastAsia="微软雅黑" w:hAnsi="微软雅黑" w:cs="宋体" w:hint="eastAsia"/>
          <w:i/>
          <w:iCs/>
          <w:color w:val="666666"/>
          <w:sz w:val="19"/>
          <w:szCs w:val="19"/>
        </w:rPr>
        <w:t>；</w:t>
      </w:r>
      <w:r w:rsidRPr="000F6CA3">
        <w:rPr>
          <w:rFonts w:ascii="微软雅黑" w:eastAsia="微软雅黑" w:hAnsi="微软雅黑" w:hint="eastAsia"/>
          <w:i/>
          <w:iCs/>
          <w:color w:val="666666"/>
          <w:sz w:val="19"/>
          <w:szCs w:val="19"/>
        </w:rPr>
        <w:t>EP_BP_T10_SpareParts §4</w:t>
      </w:r>
    </w:p>
    <w:p w14:paraId="10B23E98" w14:textId="5867C77F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✅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A complete list of interfaces has been defined, the procurement status of BTP is clarified, and draft technical specifications are available.</w:t>
      </w:r>
    </w:p>
    <w:p w14:paraId="2117FA67" w14:textId="77777777" w:rsidR="0040262F" w:rsidRPr="000F6CA3" w:rsidRDefault="0040262F" w:rsidP="0040262F">
      <w:pPr>
        <w:numPr>
          <w:ilvl w:val="0"/>
          <w:numId w:val="3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P0 Interfaces (Mandatory for Wave 1):</w:t>
      </w:r>
    </w:p>
    <w:p w14:paraId="2FEE0933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I-1 DIGIWIN </w:t>
      </w:r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 MTO procurement linkage</w:t>
      </w:r>
    </w:p>
    <w:p w14:paraId="59E3C3D1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I-2 DIGIWIN → SAP outbound delivery &amp; in-transit stock</w:t>
      </w:r>
    </w:p>
    <w:p w14:paraId="11DBFE0C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I-3 Consolidation data</w:t>
      </w:r>
    </w:p>
    <w:p w14:paraId="3FADD306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I-4 Management reporting</w:t>
      </w:r>
    </w:p>
    <w:p w14:paraId="0A855DA8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I-5 TC-PLM → SAP material master synchronization</w:t>
      </w:r>
    </w:p>
    <w:p w14:paraId="3966ACA8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I-10 EBICS bank interface</w:t>
      </w:r>
    </w:p>
    <w:p w14:paraId="32FA6C78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I-11 Direct tax authority interface</w:t>
      </w:r>
    </w:p>
    <w:p w14:paraId="4C1FFD5A" w14:textId="77777777" w:rsidR="0040262F" w:rsidRPr="000F6CA3" w:rsidRDefault="0040262F" w:rsidP="0040262F">
      <w:pPr>
        <w:numPr>
          <w:ilvl w:val="0"/>
          <w:numId w:val="3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P1 Interfaces:</w:t>
      </w:r>
    </w:p>
    <w:p w14:paraId="024743A9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lastRenderedPageBreak/>
        <w:t xml:space="preserve">I-6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</w:t>
      </w:r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</w:t>
      </w:r>
    </w:p>
    <w:p w14:paraId="02FB5555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I-7 Off-site consignment warehouse </w:t>
      </w:r>
      <w:r w:rsidRPr="000F6CA3">
        <w:rPr>
          <w:rFonts w:eastAsia="微软雅黑"/>
          <w:i/>
          <w:iCs/>
          <w:color w:val="666666"/>
          <w:sz w:val="19"/>
          <w:szCs w:val="19"/>
        </w:rPr>
        <w:t>↔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SAP</w:t>
      </w:r>
    </w:p>
    <w:p w14:paraId="7F05546D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I-8 N2F expense reimbursement</w:t>
      </w:r>
    </w:p>
    <w:p w14:paraId="0A84D36E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I-9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Webshop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product catalog</w:t>
      </w:r>
    </w:p>
    <w:p w14:paraId="24AFDC48" w14:textId="77777777" w:rsidR="0040262F" w:rsidRPr="000F6CA3" w:rsidRDefault="0040262F" w:rsidP="0040262F">
      <w:pPr>
        <w:numPr>
          <w:ilvl w:val="0"/>
          <w:numId w:val="3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Dedicated AGV Interfaces: I-A1~I-A8 (I-A1~I-A4 newly added to P0 scope, covering material master, serial number, purchase order and in-transit inventory)</w:t>
      </w:r>
    </w:p>
    <w:p w14:paraId="09A28E47" w14:textId="77777777" w:rsidR="0040262F" w:rsidRPr="000F6CA3" w:rsidRDefault="0040262F" w:rsidP="0040262F">
      <w:pPr>
        <w:numPr>
          <w:ilvl w:val="0"/>
          <w:numId w:val="3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Spare parts related interfaces: Integration with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(I-E1),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EPCare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-WMS (I-W1~I-W3), DIGIWIN (I-D1~I-D2), DAS off-site warehouse (I-F1~I-F2)</w:t>
      </w:r>
    </w:p>
    <w:p w14:paraId="3C38DE49" w14:textId="77777777" w:rsidR="0040262F" w:rsidRPr="000F6CA3" w:rsidRDefault="0040262F" w:rsidP="0040262F">
      <w:pPr>
        <w:numPr>
          <w:ilvl w:val="0"/>
          <w:numId w:val="3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Integration technologies: OData API (primary), EBICS, tax authority APIs, REST &amp; SOAP</w:t>
      </w:r>
    </w:p>
    <w:p w14:paraId="6CB45B9A" w14:textId="77777777" w:rsidR="0040262F" w:rsidRPr="000F6CA3" w:rsidRDefault="0040262F" w:rsidP="0040262F">
      <w:pPr>
        <w:numPr>
          <w:ilvl w:val="0"/>
          <w:numId w:val="30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BTP Procurement Status: </w:t>
      </w: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❌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Procurement approval pending. If BTP is not purchased, alternatives include third-party ESB or direct point-to-point OData API connections.</w:t>
      </w:r>
    </w:p>
    <w:p w14:paraId="34E81D78" w14:textId="77777777" w:rsidR="0040262F" w:rsidRPr="000F6CA3" w:rsidRDefault="0040262F" w:rsidP="0040262F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Segoe UI Emoji" w:eastAsia="微软雅黑" w:hAnsi="Segoe UI Emoji" w:cs="Segoe UI Emoji"/>
          <w:i/>
          <w:iCs/>
          <w:color w:val="666666"/>
          <w:sz w:val="19"/>
          <w:szCs w:val="19"/>
        </w:rPr>
        <w:t>⚠️</w:t>
      </w: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Pending confirmation:</w:t>
      </w:r>
    </w:p>
    <w:p w14:paraId="47BF651A" w14:textId="77777777" w:rsidR="0040262F" w:rsidRPr="000F6CA3" w:rsidRDefault="0040262F" w:rsidP="0040262F">
      <w:pPr>
        <w:numPr>
          <w:ilvl w:val="0"/>
          <w:numId w:val="3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BTP procurement decision (determines the technical roadmap of integration platform);</w:t>
      </w:r>
    </w:p>
    <w:p w14:paraId="14966E7D" w14:textId="77777777" w:rsidR="0040262F" w:rsidRPr="000F6CA3" w:rsidRDefault="0040262F" w:rsidP="0040262F">
      <w:pPr>
        <w:numPr>
          <w:ilvl w:val="0"/>
          <w:numId w:val="31"/>
        </w:num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Detailed technical specifications for all interfaces to be elaborated in the Business Blueprint (BBP).</w:t>
      </w:r>
    </w:p>
    <w:p w14:paraId="4BB04568" w14:textId="77777777" w:rsidR="0040262F" w:rsidRPr="000F6CA3" w:rsidRDefault="0040262F" w:rsidP="00BE0D17">
      <w:pPr>
        <w:spacing w:after="140"/>
        <w:rPr>
          <w:rFonts w:ascii="微软雅黑" w:eastAsia="微软雅黑" w:hAnsi="微软雅黑"/>
          <w:i/>
          <w:iCs/>
          <w:color w:val="666666"/>
          <w:sz w:val="19"/>
          <w:szCs w:val="19"/>
        </w:rPr>
      </w:pPr>
    </w:p>
    <w:p w14:paraId="190377CA" w14:textId="77777777" w:rsidR="004A612E" w:rsidRPr="000F6CA3" w:rsidRDefault="008622BD">
      <w:pPr>
        <w:pageBreakBefore/>
        <w:shd w:val="clear" w:color="auto" w:fill="1F3864"/>
        <w:spacing w:before="20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4"/>
          <w:szCs w:val="34"/>
        </w:rPr>
        <w:lastRenderedPageBreak/>
        <w:t>7.  专题讨论汇总</w:t>
      </w:r>
    </w:p>
    <w:p w14:paraId="35174757" w14:textId="77777777" w:rsidR="004A612E" w:rsidRPr="000F6CA3" w:rsidRDefault="008622BD">
      <w:pPr>
        <w:shd w:val="clear" w:color="auto" w:fill="1F3864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>7.  Workshop Topics Summary</w:t>
      </w:r>
    </w:p>
    <w:p w14:paraId="5918AEF8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以下清单汇总所有建议专题。再次强调：这是建议清单，并不完整。专题的合并、拆分、增减需与欧洲管理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层共同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确认。</w:t>
      </w:r>
    </w:p>
    <w:p w14:paraId="22FD3C2F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The list below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summarises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all proposed topics. To reiterate: this is a suggested list and is not exhaustive. Topics must be confirmed jointly with European leadership.</w:t>
      </w:r>
    </w:p>
    <w:p w14:paraId="67FA939D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2923"/>
        <w:gridCol w:w="2826"/>
        <w:gridCol w:w="3313"/>
      </w:tblGrid>
      <w:tr w:rsidR="004A612E" w:rsidRPr="000F6CA3" w14:paraId="4F396538" w14:textId="77777777">
        <w:trPr>
          <w:tblHeader/>
        </w:trPr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2FDE54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#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1507B5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专题 / Topic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79900E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核心决策 / Key Decision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3C3F27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主要参与方 / Key Stakeholders</w:t>
            </w:r>
          </w:p>
        </w:tc>
      </w:tr>
      <w:tr w:rsidR="004A612E" w:rsidRPr="000F6CA3" w14:paraId="69E7077C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ECF2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TA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827C9A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全球模板架构层数（2层 vs 3层）/ Template Architecture Layers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9707CA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是否设区域层 / Whether to include regional layer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6A590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管理层 + 项目团队 / Leadership + Project Team</w:t>
            </w:r>
          </w:p>
        </w:tc>
      </w:tr>
      <w:tr w:rsidR="004A612E" w:rsidRPr="000F6CA3" w14:paraId="2079AB3F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F17101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T01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2D024D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物料主数据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设计哲学 / Material Master Design Philosophy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622C6B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设计路线 A 或 B / Design route A or B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F2F310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集团管理层 + 欧洲销售 +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鼎捷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Group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Mgmt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+ EU Sales +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Digiwin</w:t>
            </w:r>
            <w:proofErr w:type="spellEnd"/>
          </w:p>
        </w:tc>
      </w:tr>
      <w:tr w:rsidR="004A612E" w:rsidRPr="000F6CA3" w14:paraId="5720F720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6AB5C7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T02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7070D2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物料主数据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标准与 TC-PLM 同步 / Material Master &amp; TC-PLM Sync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48FAB5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编码规则、同步方式、维护责任 / Coding rules; sync method; ownership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6AD083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 IT + 集团 IT + 顾问 / EU IT + Group IT + Consultants</w:t>
            </w:r>
          </w:p>
        </w:tc>
      </w:tr>
      <w:tr w:rsidR="004A612E" w:rsidRPr="000F6CA3" w14:paraId="272CB146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6B57BF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T03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61777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销售 BOM vs 变式配置 VC / Sales BOM vs Variant Config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52FF32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BOM 方案选型 / BOM approach selection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91105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欧洲销售 + 产品 + IT / EU Sales + Product + IT</w:t>
            </w:r>
          </w:p>
        </w:tc>
      </w:tr>
      <w:tr w:rsidR="004A612E" w:rsidRPr="000F6CA3" w14:paraId="2B6C3942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89991D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T04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7C9C8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/ 序列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号管理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规则 / VIN &amp; Serial Number Rules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58EB6F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VIN 录入时机、批次管理、评估类 / VIN entry timing; Batch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Mgmt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; Valuation Class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F0D471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欧洲运营 + IT + 顾问 / EU Operations + IT + Consultants</w:t>
            </w:r>
          </w:p>
        </w:tc>
      </w:tr>
      <w:tr w:rsidR="004A612E" w:rsidRPr="000F6CA3" w14:paraId="63736F4E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1DD69E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T05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6347CF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业务伙伴治理 / Business Partner Governance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ABC70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客户/供应商数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据治理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模式 / Customer/vendor data governance model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700596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集团管理 + 欧洲销售/采购 / Group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Mgmt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+ EU Sales/Procurement</w:t>
            </w:r>
          </w:p>
        </w:tc>
      </w:tr>
      <w:tr w:rsidR="004A612E" w:rsidRPr="000F6CA3" w14:paraId="7EAAF471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E81F2E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T06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A50738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组织架构与利润中心粒度 / Org Structure &amp; Profit Centre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B6C628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公司代码、采购组织、CO-PA 维度 /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Co.Code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; Purchasing Org; CO-PA dims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80B904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 CFO + 管理层 + 顾问 / EU CFO + Leadership + Consultants</w:t>
            </w:r>
          </w:p>
        </w:tc>
      </w:tr>
      <w:tr w:rsidR="004A612E" w:rsidRPr="000F6CA3" w14:paraId="63CD1768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F708E8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T07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C18DE6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 销售全流程 OTC / Full Vehicle Sales O2C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11A18E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各步骤 SAP 实现方式与业务规则 / SAP approach &amp; business rules per step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13906F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欧洲销售 + 财务 + IT / EU Sales + Finance + IT</w:t>
            </w:r>
          </w:p>
        </w:tc>
      </w:tr>
      <w:tr w:rsidR="004A612E" w:rsidRPr="000F6CA3" w14:paraId="6B28E5D7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E07E8B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T08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078937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补货策略与库存策略 / Replenishment &amp; Inventory Strategy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CBD4EC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Vehicle 和配件的补货参数 / Vehicle &amp; spare parts replenishment parameters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835A3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欧洲采购 + 运营 + 销售 / EU Procurement + Operations + Sales</w:t>
            </w:r>
          </w:p>
        </w:tc>
      </w:tr>
      <w:tr w:rsidR="004A612E" w:rsidRPr="000F6CA3" w14:paraId="4A76C36D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065E9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T09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E67BFD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级别定价方案 / VIN-Level Pricing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38688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方案 A（开发）or B（手工）/ Option A (dev) or B (manual)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80F352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欧洲销售 + 财务 + IT / EU Sales + Finance + IT</w:t>
            </w:r>
          </w:p>
        </w:tc>
      </w:tr>
      <w:tr w:rsidR="004A612E" w:rsidRPr="000F6CA3" w14:paraId="3FA75036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934178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T10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E772AD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配件销售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与飞仓寄售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Spare Parts &amp; Consignment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B499E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寄售流程、接口规格 / Consignment process; interface specs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804A1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欧洲运营 + IT / EU Operations + IT</w:t>
            </w:r>
          </w:p>
        </w:tc>
      </w:tr>
      <w:tr w:rsidR="004A612E" w:rsidRPr="000F6CA3" w14:paraId="0E6518E5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0BD0B2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T11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F60867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售后服务与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边界 / After-Sales &amp; </w:t>
            </w:r>
            <w:proofErr w:type="spell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EPCare</w:t>
            </w:r>
            <w:proofErr w:type="spell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Boundary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5146EA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接口规格、账务处理 / Interface specs; accounting treatment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BE5150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欧洲服务团队 + IT / EU Service Team + IT</w:t>
            </w:r>
          </w:p>
        </w:tc>
      </w:tr>
      <w:tr w:rsidR="004A612E" w:rsidRPr="000F6CA3" w14:paraId="2234CF0B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778D11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T12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0FB7A7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租赁业务方案选择 L2C / Leasing Solution L2C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A96DA4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方案 1/2/3，固定资产设计 / Option 1/2/3; Fixed Asset design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8410A4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欧洲财务 + 销售 + 顾问 / EU Finance + Sales + Consultants</w:t>
            </w:r>
          </w:p>
        </w:tc>
      </w:tr>
      <w:tr w:rsidR="004A612E" w:rsidRPr="000F6CA3" w14:paraId="001609F7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EF78CC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T13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9E04F1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科目表 ·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平行账套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· IFRS 15 / COA · Parallel Ledgers · IFRS 15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D47D47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科目表设计，RAR 模块 / COA design; RAR module decision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7ADC2C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 CFO + 欧洲财务总监 / Group CFO + EU Finance Director</w:t>
            </w:r>
          </w:p>
        </w:tc>
      </w:tr>
      <w:tr w:rsidR="004A612E" w:rsidRPr="000F6CA3" w14:paraId="52D73DC2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888E8A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T14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5210A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IFRS 16 出租方处理 / IFRS 16 Lessor Accounting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256CBA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融资/经营租赁分类标准 / Finance vs operating lease classification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6CFF42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欧洲财务 + 审计师 / EU Finance + Auditors</w:t>
            </w:r>
          </w:p>
        </w:tc>
      </w:tr>
      <w:tr w:rsidR="004A612E" w:rsidRPr="000F6CA3" w14:paraId="27D56A7B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6692C6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T15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BD8EE4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欧洲双层合并 · 本地 GAAP / Two-Tier Consolidation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397CC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消除规则、合并日历 / Elimination rules; consolidation calendar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4756CA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欧洲财务 + 集团 CFO / EU Finance + Group CFO</w:t>
            </w:r>
          </w:p>
        </w:tc>
      </w:tr>
      <w:tr w:rsidR="004A612E" w:rsidRPr="000F6CA3" w14:paraId="68C2E31D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162AC2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T16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1741CB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增值税 / Intrastat / VAT &amp; Tax Compliance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E7EF85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税务接口、申报规则 / Tax interfaces; filing rules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80AFE1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欧洲财务 + 税务顾问 / EU Finance + Tax Consultants</w:t>
            </w:r>
          </w:p>
        </w:tc>
      </w:tr>
      <w:tr w:rsidR="004A612E" w:rsidRPr="000F6CA3" w14:paraId="3C405F41" w14:textId="77777777">
        <w:tc>
          <w:tcPr>
            <w:tcW w:w="68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78FCE2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T17</w:t>
            </w:r>
          </w:p>
        </w:tc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E4FA0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IT 集成架构与接口优先级 / IT Integration &amp; Interface Priorities</w:t>
            </w:r>
          </w:p>
        </w:tc>
        <w:tc>
          <w:tcPr>
            <w:tcW w:w="2826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559819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BTP 采购、接口清单、优先级 / BTP purchase; interface list; priorities</w:t>
            </w:r>
          </w:p>
        </w:tc>
        <w:tc>
          <w:tcPr>
            <w:tcW w:w="331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5CC5E0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 IT + 集团 IT + 顾问 / EU IT + Group IT + Consultants</w:t>
            </w:r>
          </w:p>
        </w:tc>
      </w:tr>
    </w:tbl>
    <w:p w14:paraId="0C930E51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3703"/>
        <w:gridCol w:w="4093"/>
      </w:tblGrid>
      <w:tr w:rsidR="004A612E" w:rsidRPr="000F6CA3" w14:paraId="4AC95520" w14:textId="77777777">
        <w:trPr>
          <w:tblHeader/>
        </w:trPr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98FAC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轮次 / Round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D8F3A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专题 / Topics</w:t>
            </w:r>
          </w:p>
        </w:tc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9089F0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重点 / Focus</w:t>
            </w:r>
          </w:p>
        </w:tc>
      </w:tr>
      <w:tr w:rsidR="004A612E" w:rsidRPr="000F6CA3" w14:paraId="0AB8CA54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8D387B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第一轮 / Round 1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609C2B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TA → T01 → T06</w:t>
            </w:r>
          </w:p>
        </w:tc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F805E9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架构基础 / Architecture foundation</w:t>
            </w:r>
          </w:p>
        </w:tc>
      </w:tr>
      <w:tr w:rsidR="004A612E" w:rsidRPr="000F6CA3" w14:paraId="1D413353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E36B05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第二轮 / Round 2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317B97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T02 → T03 → T04 → T05</w:t>
            </w:r>
          </w:p>
        </w:tc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0321AF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主数据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Master data</w:t>
            </w:r>
          </w:p>
        </w:tc>
      </w:tr>
      <w:tr w:rsidR="004A612E" w:rsidRPr="000F6CA3" w14:paraId="26DC43CA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95AB67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第三轮 / Round 3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816EE1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T07 → T08 → T09 → T10 → T11 → T12</w:t>
            </w:r>
          </w:p>
        </w:tc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B9A42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业务流程 / Business processes</w:t>
            </w:r>
          </w:p>
        </w:tc>
      </w:tr>
      <w:tr w:rsidR="004A612E" w:rsidRPr="000F6CA3" w14:paraId="74388F7F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B21765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第四轮 / Round 4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DC7111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T13 → T14 → T15 → T16</w:t>
            </w:r>
          </w:p>
        </w:tc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8E8C0C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财务合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规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 / Financial compliance</w:t>
            </w:r>
          </w:p>
        </w:tc>
      </w:tr>
      <w:tr w:rsidR="004A612E" w:rsidRPr="000F6CA3" w14:paraId="10402E68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8E5E8F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第五轮 / Round 5</w:t>
            </w:r>
          </w:p>
        </w:tc>
        <w:tc>
          <w:tcPr>
            <w:tcW w:w="370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27CA1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T17</w:t>
            </w:r>
          </w:p>
        </w:tc>
        <w:tc>
          <w:tcPr>
            <w:tcW w:w="409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C8187B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IT 集成 / IT integration</w:t>
            </w:r>
          </w:p>
        </w:tc>
      </w:tr>
    </w:tbl>
    <w:p w14:paraId="094104CE" w14:textId="77777777" w:rsidR="004A612E" w:rsidRPr="000F6CA3" w:rsidRDefault="004A612E">
      <w:pPr>
        <w:pageBreakBefore/>
        <w:spacing w:before="100"/>
        <w:rPr>
          <w:rFonts w:ascii="微软雅黑" w:eastAsia="微软雅黑" w:hAnsi="微软雅黑"/>
        </w:rPr>
      </w:pPr>
    </w:p>
    <w:p w14:paraId="1E620F15" w14:textId="77777777" w:rsidR="004A612E" w:rsidRPr="000F6CA3" w:rsidRDefault="008622BD">
      <w:pPr>
        <w:shd w:val="clear" w:color="auto" w:fill="2E75B6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0"/>
          <w:szCs w:val="30"/>
        </w:rPr>
        <w:t>附录 A  SAP 术语对照</w:t>
      </w:r>
    </w:p>
    <w:p w14:paraId="32E94D9B" w14:textId="77777777" w:rsidR="004A612E" w:rsidRPr="000F6CA3" w:rsidRDefault="008622BD">
      <w:pPr>
        <w:shd w:val="clear" w:color="auto" w:fill="2E75B6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 xml:space="preserve">Appendix </w:t>
      </w:r>
      <w:proofErr w:type="gramStart"/>
      <w:r w:rsidRPr="000F6CA3">
        <w:rPr>
          <w:rFonts w:ascii="微软雅黑" w:eastAsia="微软雅黑" w:hAnsi="微软雅黑"/>
          <w:i/>
          <w:iCs/>
          <w:color w:val="D6E4F0"/>
        </w:rPr>
        <w:t>A  SAP</w:t>
      </w:r>
      <w:proofErr w:type="gramEnd"/>
      <w:r w:rsidRPr="000F6CA3">
        <w:rPr>
          <w:rFonts w:ascii="微软雅黑" w:eastAsia="微软雅黑" w:hAnsi="微软雅黑"/>
          <w:i/>
          <w:iCs/>
          <w:color w:val="D6E4F0"/>
        </w:rPr>
        <w:t xml:space="preserve"> Glossary</w:t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1949"/>
        <w:gridCol w:w="5847"/>
      </w:tblGrid>
      <w:tr w:rsidR="004A612E" w:rsidRPr="000F6CA3" w14:paraId="2BDB211F" w14:textId="77777777">
        <w:trPr>
          <w:tblHeader/>
        </w:trPr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B52F6E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SAP 术语 / Term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8D682E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中文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868142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Business Meaning</w:t>
            </w:r>
          </w:p>
        </w:tc>
      </w:tr>
      <w:tr w:rsidR="004A612E" w:rsidRPr="000F6CA3" w14:paraId="6C9F5D5C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092782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Company Code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E1769F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公司代码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349431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Each legal entity has one Company Code — the smallest unit for legally compliant financial reporting</w:t>
            </w:r>
          </w:p>
        </w:tc>
      </w:tr>
      <w:tr w:rsidR="004A612E" w:rsidRPr="000F6CA3" w14:paraId="738E6865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8CD7F5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Controlling Area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E9C172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控制区域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5323E5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Management accounting boundary. EP uses one global CA for all overseas entities</w:t>
            </w:r>
          </w:p>
        </w:tc>
      </w:tr>
      <w:tr w:rsidR="004A612E" w:rsidRPr="000F6CA3" w14:paraId="7E797B99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947CDE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Profit Centre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2B2B6E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利润中心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D1FF7F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Internal performance unit — defined by country, business line, product, or channel</w:t>
            </w:r>
          </w:p>
        </w:tc>
      </w:tr>
      <w:tr w:rsidR="004A612E" w:rsidRPr="000F6CA3" w14:paraId="56B36E0B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87A2E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Business Partner (BP)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F82522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业务伙伴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96D69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Unified record for customers, suppliers, and intercompany entities</w:t>
            </w:r>
          </w:p>
        </w:tc>
      </w:tr>
      <w:tr w:rsidR="004A612E" w:rsidRPr="000F6CA3" w14:paraId="130C34BF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C917A4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Sales BOM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40BFCC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销售物料清单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AED777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Product structure in SAP SD: vehicle order auto-expands into a delivery list</w:t>
            </w:r>
          </w:p>
        </w:tc>
      </w:tr>
      <w:tr w:rsidR="004A612E" w:rsidRPr="000F6CA3" w14:paraId="32D8BC6D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6503F2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Variant Configuration (VC)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F949F9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变式配置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3BBB34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Logic-driven BOM management for complex configuration combinations</w:t>
            </w:r>
          </w:p>
        </w:tc>
      </w:tr>
      <w:tr w:rsidR="004A612E" w:rsidRPr="000F6CA3" w14:paraId="0EBEDB01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FC1661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VIN / Serial Number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9760E3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整车序列号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10C44F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Unique identifier per vehicle — SAP tracks the full lifecycle</w:t>
            </w:r>
          </w:p>
        </w:tc>
      </w:tr>
      <w:tr w:rsidR="004A612E" w:rsidRPr="000F6CA3" w14:paraId="61735A82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AE460F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MTO / MTS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68FF5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按订单/按库存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5192A2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MTO: order triggers procurement; MTS: fulfilled from existing stock</w:t>
            </w:r>
          </w:p>
        </w:tc>
      </w:tr>
      <w:tr w:rsidR="004A612E" w:rsidRPr="000F6CA3" w14:paraId="0F658353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164118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In-Transit Stock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70256B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在途库存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FC68EE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Inventory shipped but not yet received — recorded in SAP during transit</w:t>
            </w:r>
          </w:p>
        </w:tc>
      </w:tr>
      <w:tr w:rsidR="004A612E" w:rsidRPr="000F6CA3" w14:paraId="4365921C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46BB23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Consignment /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飞仓</w:t>
            </w:r>
            <w:proofErr w:type="gramEnd"/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2A192A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寄售库存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B839E8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Parts at customer sites where ownership stays with EP; billed on consumption</w:t>
            </w:r>
          </w:p>
        </w:tc>
      </w:tr>
      <w:tr w:rsidR="004A612E" w:rsidRPr="000F6CA3" w14:paraId="7EA35B97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AA319A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Leading Ledger (0L)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E1D1C6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主账（IFRS）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D850D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Primary accounting ledger — EP uses IFRS for all overseas entities</w:t>
            </w:r>
          </w:p>
        </w:tc>
      </w:tr>
      <w:tr w:rsidR="004A612E" w:rsidRPr="000F6CA3" w14:paraId="079C01E3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BFDB53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Non-Leading Ledger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F1E583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非主账</w:t>
            </w:r>
            <w:proofErr w:type="gramEnd"/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A2A661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Parallel ledgers for local GAAP (LL) and management reporting (ML)</w:t>
            </w:r>
          </w:p>
        </w:tc>
      </w:tr>
      <w:tr w:rsidR="004A612E" w:rsidRPr="000F6CA3" w14:paraId="58CDDB54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01206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Group Reporting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144FF6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集团合并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F08345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module for automated intercompany elimination and consolidated statements</w:t>
            </w:r>
          </w:p>
        </w:tc>
      </w:tr>
      <w:tr w:rsidR="004A612E" w:rsidRPr="000F6CA3" w14:paraId="305E7D48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C6415E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CLM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6A950C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合同生命周期管理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88DBB7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Contract &amp; Lease Management — for complex lease contracts and IFRS 16</w:t>
            </w:r>
          </w:p>
        </w:tc>
      </w:tr>
      <w:tr w:rsidR="004A612E" w:rsidRPr="000F6CA3" w14:paraId="6445C9B4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3F908F3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RAR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3D92B4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收入确认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D5EADF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Revenue Accounting &amp; Reporting — for IFRS 15 complex </w:t>
            </w: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revenue recognition</w:t>
            </w:r>
          </w:p>
        </w:tc>
      </w:tr>
      <w:tr w:rsidR="004A612E" w:rsidRPr="000F6CA3" w14:paraId="037F9D0D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457F5E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lastRenderedPageBreak/>
              <w:t>BTP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D816DE5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业务技术平台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961AEE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SAP Business Technology Platform — recommended middleware for all integrations</w:t>
            </w:r>
          </w:p>
        </w:tc>
      </w:tr>
      <w:tr w:rsidR="004A612E" w:rsidRPr="000F6CA3" w14:paraId="5D9E9CCB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1B8B9F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O2C / OTC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6C3F69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订单到收款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6D7532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Order-to-Cash: from customer sales order to cash receipt</w:t>
            </w:r>
          </w:p>
        </w:tc>
      </w:tr>
      <w:tr w:rsidR="004A612E" w:rsidRPr="000F6CA3" w14:paraId="09788E85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8F2017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L2C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72F3DB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租赁到收款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A60AA78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Lease-to-Cash: from lease contract to rental income collection</w:t>
            </w:r>
          </w:p>
        </w:tc>
      </w:tr>
      <w:tr w:rsidR="004A612E" w:rsidRPr="000F6CA3" w14:paraId="59573C26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1003E62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BBP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1662D0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业务蓝图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7DAA0C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Business Blueprint — formal design document signed off by client and consultant</w:t>
            </w:r>
          </w:p>
        </w:tc>
      </w:tr>
      <w:tr w:rsidR="004A612E" w:rsidRPr="000F6CA3" w14:paraId="76DC7418" w14:textId="77777777"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2AB64A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Fit-Gap</w:t>
            </w:r>
          </w:p>
        </w:tc>
        <w:tc>
          <w:tcPr>
            <w:tcW w:w="1949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442501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适配差异分析</w:t>
            </w:r>
          </w:p>
        </w:tc>
        <w:tc>
          <w:tcPr>
            <w:tcW w:w="584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F082766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Assessment of how the template fits a new entity; identifies local configuration needs</w:t>
            </w:r>
          </w:p>
        </w:tc>
      </w:tr>
    </w:tbl>
    <w:p w14:paraId="025EBDF9" w14:textId="77777777" w:rsidR="004A612E" w:rsidRPr="000F6CA3" w:rsidRDefault="004A612E">
      <w:pPr>
        <w:pageBreakBefore/>
        <w:spacing w:before="100"/>
        <w:rPr>
          <w:rFonts w:ascii="微软雅黑" w:eastAsia="微软雅黑" w:hAnsi="微软雅黑"/>
        </w:rPr>
      </w:pPr>
    </w:p>
    <w:p w14:paraId="07AAB9AD" w14:textId="77777777" w:rsidR="004A612E" w:rsidRPr="000F6CA3" w:rsidRDefault="008622BD">
      <w:pPr>
        <w:shd w:val="clear" w:color="auto" w:fill="2E75B6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b/>
          <w:bCs/>
          <w:color w:val="FFFFFF"/>
          <w:sz w:val="30"/>
          <w:szCs w:val="30"/>
        </w:rPr>
        <w:t>附录 B  欧洲工作节奏与工作坊安排提示</w:t>
      </w:r>
    </w:p>
    <w:p w14:paraId="3BA1C883" w14:textId="77777777" w:rsidR="004A612E" w:rsidRPr="000F6CA3" w:rsidRDefault="008622BD">
      <w:pPr>
        <w:shd w:val="clear" w:color="auto" w:fill="2E75B6"/>
        <w:spacing w:after="240"/>
        <w:ind w:left="120" w:right="12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D6E4F0"/>
        </w:rPr>
        <w:t xml:space="preserve">Appendix </w:t>
      </w:r>
      <w:proofErr w:type="gramStart"/>
      <w:r w:rsidRPr="000F6CA3">
        <w:rPr>
          <w:rFonts w:ascii="微软雅黑" w:eastAsia="微软雅黑" w:hAnsi="微软雅黑"/>
          <w:i/>
          <w:iCs/>
          <w:color w:val="D6E4F0"/>
        </w:rPr>
        <w:t>B  European</w:t>
      </w:r>
      <w:proofErr w:type="gramEnd"/>
      <w:r w:rsidRPr="000F6CA3">
        <w:rPr>
          <w:rFonts w:ascii="微软雅黑" w:eastAsia="微软雅黑" w:hAnsi="微软雅黑"/>
          <w:i/>
          <w:iCs/>
          <w:color w:val="D6E4F0"/>
        </w:rPr>
        <w:t xml:space="preserve"> Work Rhythm &amp; Workshop Scheduling Notes</w:t>
      </w:r>
    </w:p>
    <w:p w14:paraId="48962FEF" w14:textId="77777777" w:rsidR="004A612E" w:rsidRPr="000F6CA3" w:rsidRDefault="008622BD">
      <w:pPr>
        <w:spacing w:before="80" w:after="3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sz w:val="21"/>
          <w:szCs w:val="21"/>
        </w:rPr>
        <w:t>组织欧洲管理</w:t>
      </w:r>
      <w:proofErr w:type="gramStart"/>
      <w:r w:rsidRPr="000F6CA3">
        <w:rPr>
          <w:rFonts w:ascii="微软雅黑" w:eastAsia="微软雅黑" w:hAnsi="微软雅黑"/>
          <w:sz w:val="21"/>
          <w:szCs w:val="21"/>
        </w:rPr>
        <w:t>层参与</w:t>
      </w:r>
      <w:proofErr w:type="gramEnd"/>
      <w:r w:rsidRPr="000F6CA3">
        <w:rPr>
          <w:rFonts w:ascii="微软雅黑" w:eastAsia="微软雅黑" w:hAnsi="微软雅黑"/>
          <w:sz w:val="21"/>
          <w:szCs w:val="21"/>
        </w:rPr>
        <w:t>工作坊时，需要充分尊重欧洲的工作节奏和文化，这与国内项目的推进方式有所不同。</w:t>
      </w:r>
    </w:p>
    <w:p w14:paraId="44B9B306" w14:textId="77777777" w:rsidR="004A612E" w:rsidRPr="000F6CA3" w:rsidRDefault="008622BD">
      <w:pPr>
        <w:spacing w:after="100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When </w:t>
      </w:r>
      <w:proofErr w:type="spellStart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>organising</w:t>
      </w:r>
      <w:proofErr w:type="spellEnd"/>
      <w:r w:rsidRPr="000F6CA3">
        <w:rPr>
          <w:rFonts w:ascii="微软雅黑" w:eastAsia="微软雅黑" w:hAnsi="微软雅黑"/>
          <w:i/>
          <w:iCs/>
          <w:color w:val="666666"/>
          <w:sz w:val="19"/>
          <w:szCs w:val="19"/>
        </w:rPr>
        <w:t xml:space="preserve"> workshops with European leadership, European work rhythms and culture must be fully respected — this differs from domestic project approaches.</w:t>
      </w:r>
    </w:p>
    <w:p w14:paraId="2315C6CC" w14:textId="77777777" w:rsidR="004A612E" w:rsidRPr="000F6CA3" w:rsidRDefault="004A612E">
      <w:pPr>
        <w:spacing w:before="8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3"/>
        <w:gridCol w:w="6822"/>
      </w:tblGrid>
      <w:tr w:rsidR="004A612E" w:rsidRPr="000F6CA3" w14:paraId="44501617" w14:textId="77777777">
        <w:trPr>
          <w:tblHeader/>
        </w:trPr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5783CE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原则 / Principle</w:t>
            </w:r>
          </w:p>
        </w:tc>
        <w:tc>
          <w:tcPr>
            <w:tcW w:w="682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0C4432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建议 / Recommendation</w:t>
            </w:r>
          </w:p>
        </w:tc>
      </w:tr>
      <w:tr w:rsidR="004A612E" w:rsidRPr="000F6CA3" w14:paraId="3B024745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F6C46A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工作坊时长 / Session Length</w:t>
            </w:r>
          </w:p>
        </w:tc>
        <w:tc>
          <w:tcPr>
            <w:tcW w:w="682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E017EB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每次 2-3 小时，不超过半天 / 2-3 hours per session; ideally not exceeding half a day</w:t>
            </w:r>
          </w:p>
        </w:tc>
      </w:tr>
      <w:tr w:rsidR="004A612E" w:rsidRPr="000F6CA3" w14:paraId="404F14B1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175050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工作坊频率 / Session Frequency</w:t>
            </w:r>
          </w:p>
        </w:tc>
        <w:tc>
          <w:tcPr>
            <w:tcW w:w="682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614F752C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 xml:space="preserve">每两周不超过 1-2 </w:t>
            </w:r>
            <w:proofErr w:type="gramStart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个</w:t>
            </w:r>
            <w:proofErr w:type="gramEnd"/>
            <w:r w:rsidRPr="000F6CA3">
              <w:rPr>
                <w:rFonts w:ascii="微软雅黑" w:eastAsia="微软雅黑" w:hAnsi="微软雅黑"/>
                <w:sz w:val="19"/>
                <w:szCs w:val="19"/>
              </w:rPr>
              <w:t>专题 / No more than 1-2 topics per two-week period</w:t>
            </w:r>
          </w:p>
        </w:tc>
      </w:tr>
      <w:tr w:rsidR="004A612E" w:rsidRPr="000F6CA3" w14:paraId="20136D60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4D99FD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材料提前发送 / Pre-read Materials</w:t>
            </w:r>
          </w:p>
        </w:tc>
        <w:tc>
          <w:tcPr>
            <w:tcW w:w="682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BD6F22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至少提前 1 周发送议程和准备材料 / Send agenda and materials at least 1 week in advance</w:t>
            </w:r>
          </w:p>
        </w:tc>
      </w:tr>
      <w:tr w:rsidR="004A612E" w:rsidRPr="000F6CA3" w14:paraId="351674AB" w14:textId="77777777">
        <w:tc>
          <w:tcPr>
            <w:tcW w:w="2923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2457B4B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远程 vs 现场 / Remote vs On-site</w:t>
            </w:r>
          </w:p>
        </w:tc>
        <w:tc>
          <w:tcPr>
            <w:tcW w:w="6822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3BDD80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蓝图调研阶段以远程为主；关键里程碑建议现场 / Blueprint phase: primarily remote; key milestones on-site</w:t>
            </w:r>
          </w:p>
        </w:tc>
      </w:tr>
    </w:tbl>
    <w:p w14:paraId="398686F5" w14:textId="77777777" w:rsidR="004A612E" w:rsidRPr="000F6CA3" w:rsidRDefault="004A612E">
      <w:pPr>
        <w:spacing w:before="100" w:after="60"/>
        <w:rPr>
          <w:rFonts w:ascii="微软雅黑" w:eastAsia="微软雅黑" w:hAnsi="微软雅黑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8"/>
        <w:gridCol w:w="6237"/>
      </w:tblGrid>
      <w:tr w:rsidR="004A612E" w:rsidRPr="000F6CA3" w14:paraId="6674534E" w14:textId="77777777">
        <w:trPr>
          <w:tblHeader/>
        </w:trPr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8F43FBD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主要节假日提示 / Key Holiday Periods</w:t>
            </w:r>
          </w:p>
        </w:tc>
        <w:tc>
          <w:tcPr>
            <w:tcW w:w="623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1F3864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4D3E3497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b/>
                <w:bCs/>
                <w:color w:val="FFFFFF"/>
                <w:sz w:val="19"/>
                <w:szCs w:val="19"/>
              </w:rPr>
              <w:t>说明 / Notes</w:t>
            </w:r>
          </w:p>
        </w:tc>
      </w:tr>
      <w:tr w:rsidR="004A612E" w:rsidRPr="000F6CA3" w14:paraId="2FD48642" w14:textId="77777777"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17ACB7F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8月 / August</w:t>
            </w:r>
          </w:p>
        </w:tc>
        <w:tc>
          <w:tcPr>
            <w:tcW w:w="623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581B7140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欧洲普遍夏季休假期，关键人员可能长假 / Summer holiday; key staff may be on extended leave</w:t>
            </w:r>
          </w:p>
        </w:tc>
      </w:tr>
      <w:tr w:rsidR="004A612E" w:rsidRPr="000F6CA3" w14:paraId="3048D027" w14:textId="77777777"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72F5BEF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12月下旬–1月上旬 / Late Dec – Early Jan</w:t>
            </w:r>
          </w:p>
        </w:tc>
        <w:tc>
          <w:tcPr>
            <w:tcW w:w="623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EE69E04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圣诞及新年假期，工作状态基本停滞 / Christmas &amp; New Year; work largely comes to a halt</w:t>
            </w:r>
          </w:p>
        </w:tc>
      </w:tr>
      <w:tr w:rsidR="004A612E" w:rsidRPr="000F6CA3" w14:paraId="3BCED967" w14:textId="77777777"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746633B1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英国复活节 / UK Easter</w:t>
            </w:r>
          </w:p>
        </w:tc>
        <w:tc>
          <w:tcPr>
            <w:tcW w:w="623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FFFFFF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FDA111A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通常 4 月，前后各有公共假期 / Usually April; public holidays before and after</w:t>
            </w:r>
          </w:p>
        </w:tc>
      </w:tr>
      <w:tr w:rsidR="004A612E" w:rsidRPr="000F6CA3" w14:paraId="16DCEDEE" w14:textId="77777777">
        <w:tc>
          <w:tcPr>
            <w:tcW w:w="3508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09771EC9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德国·比利时 5–6月 / DE·BE May-Jun</w:t>
            </w:r>
          </w:p>
        </w:tc>
        <w:tc>
          <w:tcPr>
            <w:tcW w:w="6237" w:type="dxa"/>
            <w:tcBorders>
              <w:top w:val="single" w:sz="4" w:space="0" w:color="9DC3E6"/>
              <w:left w:val="single" w:sz="4" w:space="0" w:color="9DC3E6"/>
              <w:bottom w:val="single" w:sz="4" w:space="0" w:color="9DC3E6"/>
              <w:right w:val="single" w:sz="4" w:space="0" w:color="9DC3E6"/>
            </w:tcBorders>
            <w:shd w:val="clear" w:color="auto" w:fill="EBF3FA"/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</w:tcPr>
          <w:p w14:paraId="39E4BABE" w14:textId="77777777" w:rsidR="004A612E" w:rsidRPr="000F6CA3" w:rsidRDefault="008622BD">
            <w:pPr>
              <w:rPr>
                <w:rFonts w:ascii="微软雅黑" w:eastAsia="微软雅黑" w:hAnsi="微软雅黑"/>
              </w:rPr>
            </w:pPr>
            <w:r w:rsidRPr="000F6CA3">
              <w:rPr>
                <w:rFonts w:ascii="微软雅黑" w:eastAsia="微软雅黑" w:hAnsi="微软雅黑"/>
                <w:sz w:val="19"/>
                <w:szCs w:val="19"/>
              </w:rPr>
              <w:t>多个宗教和国家假日密集 / Multiple religious and national holidays in quick succession</w:t>
            </w:r>
          </w:p>
        </w:tc>
      </w:tr>
    </w:tbl>
    <w:p w14:paraId="34A0944F" w14:textId="77777777" w:rsidR="004A612E" w:rsidRPr="000F6CA3" w:rsidRDefault="004A612E">
      <w:pPr>
        <w:spacing w:before="200"/>
        <w:rPr>
          <w:rFonts w:ascii="微软雅黑" w:eastAsia="微软雅黑" w:hAnsi="微软雅黑"/>
        </w:rPr>
      </w:pPr>
    </w:p>
    <w:p w14:paraId="0F66742B" w14:textId="77777777" w:rsidR="004A612E" w:rsidRPr="000F6CA3" w:rsidRDefault="008622BD">
      <w:pPr>
        <w:jc w:val="center"/>
        <w:rPr>
          <w:rFonts w:ascii="微软雅黑" w:eastAsia="微软雅黑" w:hAnsi="微软雅黑"/>
        </w:rPr>
      </w:pPr>
      <w:r w:rsidRPr="000F6CA3">
        <w:rPr>
          <w:rFonts w:ascii="微软雅黑" w:eastAsia="微软雅黑" w:hAnsi="微软雅黑"/>
          <w:i/>
          <w:iCs/>
          <w:color w:val="555555"/>
          <w:sz w:val="20"/>
          <w:szCs w:val="20"/>
        </w:rPr>
        <w:t>— 文档结束 / End of Document —</w:t>
      </w:r>
    </w:p>
    <w:p w14:paraId="68834473" w14:textId="67B86CB9" w:rsidR="004A612E" w:rsidRPr="000F6CA3" w:rsidRDefault="008622BD">
      <w:pPr>
        <w:spacing w:before="40"/>
        <w:jc w:val="center"/>
        <w:rPr>
          <w:rFonts w:ascii="微软雅黑" w:eastAsia="微软雅黑" w:hAnsi="微软雅黑"/>
        </w:rPr>
      </w:pPr>
      <w:proofErr w:type="gramStart"/>
      <w:r w:rsidRPr="000F6CA3">
        <w:rPr>
          <w:rFonts w:ascii="微软雅黑" w:eastAsia="微软雅黑" w:hAnsi="微软雅黑"/>
          <w:color w:val="555555"/>
          <w:sz w:val="18"/>
          <w:szCs w:val="18"/>
        </w:rPr>
        <w:t>v2.</w:t>
      </w:r>
      <w:r w:rsidR="00C85462" w:rsidRPr="000F6CA3">
        <w:rPr>
          <w:rFonts w:ascii="微软雅黑" w:eastAsia="微软雅黑" w:hAnsi="微软雅黑" w:hint="eastAsia"/>
          <w:color w:val="555555"/>
          <w:sz w:val="18"/>
          <w:szCs w:val="18"/>
        </w:rPr>
        <w:t>2</w:t>
      </w:r>
      <w:r w:rsidRPr="000F6CA3">
        <w:rPr>
          <w:rFonts w:ascii="微软雅黑" w:eastAsia="微软雅黑" w:hAnsi="微软雅黑"/>
          <w:color w:val="555555"/>
          <w:sz w:val="18"/>
          <w:szCs w:val="18"/>
        </w:rPr>
        <w:t xml:space="preserve">  ·</w:t>
      </w:r>
      <w:proofErr w:type="gramEnd"/>
      <w:r w:rsidRPr="000F6CA3">
        <w:rPr>
          <w:rFonts w:ascii="微软雅黑" w:eastAsia="微软雅黑" w:hAnsi="微软雅黑"/>
          <w:color w:val="555555"/>
          <w:sz w:val="18"/>
          <w:szCs w:val="18"/>
        </w:rPr>
        <w:t xml:space="preserve">  BOS Consulting × EP </w:t>
      </w:r>
      <w:proofErr w:type="gramStart"/>
      <w:r w:rsidRPr="000F6CA3">
        <w:rPr>
          <w:rFonts w:ascii="微软雅黑" w:eastAsia="微软雅黑" w:hAnsi="微软雅黑"/>
          <w:color w:val="555555"/>
          <w:sz w:val="18"/>
          <w:szCs w:val="18"/>
        </w:rPr>
        <w:t>Equipment  ·</w:t>
      </w:r>
      <w:proofErr w:type="gramEnd"/>
      <w:r w:rsidRPr="000F6CA3">
        <w:rPr>
          <w:rFonts w:ascii="微软雅黑" w:eastAsia="微软雅黑" w:hAnsi="微软雅黑"/>
          <w:color w:val="555555"/>
          <w:sz w:val="18"/>
          <w:szCs w:val="18"/>
        </w:rPr>
        <w:t xml:space="preserve">  2026-0</w:t>
      </w:r>
      <w:r w:rsidR="00C85462" w:rsidRPr="000F6CA3">
        <w:rPr>
          <w:rFonts w:ascii="微软雅黑" w:eastAsia="微软雅黑" w:hAnsi="微软雅黑" w:hint="eastAsia"/>
          <w:color w:val="555555"/>
          <w:sz w:val="18"/>
          <w:szCs w:val="18"/>
        </w:rPr>
        <w:t>7</w:t>
      </w:r>
      <w:r w:rsidRPr="000F6CA3">
        <w:rPr>
          <w:rFonts w:ascii="微软雅黑" w:eastAsia="微软雅黑" w:hAnsi="微软雅黑"/>
          <w:color w:val="555555"/>
          <w:sz w:val="18"/>
          <w:szCs w:val="18"/>
        </w:rPr>
        <w:t>-</w:t>
      </w:r>
      <w:r w:rsidR="00C85462" w:rsidRPr="000F6CA3">
        <w:rPr>
          <w:rFonts w:ascii="微软雅黑" w:eastAsia="微软雅黑" w:hAnsi="微软雅黑" w:hint="eastAsia"/>
          <w:color w:val="555555"/>
          <w:sz w:val="18"/>
          <w:szCs w:val="18"/>
        </w:rPr>
        <w:t>07</w:t>
      </w:r>
    </w:p>
    <w:sectPr w:rsidR="004A612E" w:rsidRPr="000F6CA3">
      <w:headerReference w:type="default" r:id="rId9"/>
      <w:footerReference w:type="default" r:id="rId10"/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37A0" w14:textId="77777777" w:rsidR="00736868" w:rsidRDefault="00736868">
      <w:r>
        <w:separator/>
      </w:r>
    </w:p>
  </w:endnote>
  <w:endnote w:type="continuationSeparator" w:id="0">
    <w:p w14:paraId="70A3CFC8" w14:textId="77777777" w:rsidR="00736868" w:rsidRDefault="0073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5004" w14:textId="45F67F29" w:rsidR="004A612E" w:rsidRDefault="008622BD">
    <w:pPr>
      <w:pBdr>
        <w:top w:val="single" w:sz="4" w:space="0" w:color="D6E4F0"/>
      </w:pBdr>
      <w:spacing w:before="60"/>
      <w:jc w:val="center"/>
    </w:pPr>
    <w:proofErr w:type="gramStart"/>
    <w:r>
      <w:rPr>
        <w:rFonts w:eastAsia="Arial"/>
        <w:color w:val="555555"/>
        <w:sz w:val="16"/>
        <w:szCs w:val="16"/>
      </w:rPr>
      <w:t>CONFIDENTIAL  ·</w:t>
    </w:r>
    <w:proofErr w:type="gramEnd"/>
    <w:r>
      <w:rPr>
        <w:rFonts w:eastAsia="Arial"/>
        <w:color w:val="555555"/>
        <w:sz w:val="16"/>
        <w:szCs w:val="16"/>
      </w:rPr>
      <w:t xml:space="preserve">  </w:t>
    </w:r>
    <w:proofErr w:type="gramStart"/>
    <w:r>
      <w:rPr>
        <w:rFonts w:eastAsia="Arial"/>
        <w:color w:val="555555"/>
        <w:sz w:val="16"/>
        <w:szCs w:val="16"/>
      </w:rPr>
      <w:t>v2.</w:t>
    </w:r>
    <w:r w:rsidR="00A1363A">
      <w:rPr>
        <w:rFonts w:hint="eastAsia"/>
        <w:color w:val="555555"/>
        <w:sz w:val="16"/>
        <w:szCs w:val="16"/>
      </w:rPr>
      <w:t>2</w:t>
    </w:r>
    <w:r>
      <w:rPr>
        <w:rFonts w:eastAsia="Arial"/>
        <w:color w:val="555555"/>
        <w:sz w:val="16"/>
        <w:szCs w:val="16"/>
      </w:rPr>
      <w:t xml:space="preserve">  ·</w:t>
    </w:r>
    <w:proofErr w:type="gramEnd"/>
    <w:r>
      <w:rPr>
        <w:rFonts w:eastAsia="Arial"/>
        <w:color w:val="555555"/>
        <w:sz w:val="16"/>
        <w:szCs w:val="16"/>
      </w:rPr>
      <w:t xml:space="preserve">  Page </w:t>
    </w:r>
    <w:r>
      <w:rPr>
        <w:color w:val="555555"/>
        <w:sz w:val="16"/>
        <w:szCs w:val="16"/>
      </w:rPr>
      <w:fldChar w:fldCharType="begin"/>
    </w:r>
    <w:r>
      <w:rPr>
        <w:rFonts w:eastAsia="Arial"/>
        <w:color w:val="555555"/>
        <w:sz w:val="16"/>
        <w:szCs w:val="16"/>
      </w:rPr>
      <w:instrText>PAGE</w:instrText>
    </w:r>
    <w:r>
      <w:rPr>
        <w:color w:val="555555"/>
        <w:sz w:val="16"/>
        <w:szCs w:val="16"/>
      </w:rPr>
      <w:fldChar w:fldCharType="separate"/>
    </w:r>
    <w:r w:rsidR="005F5566">
      <w:rPr>
        <w:rFonts w:eastAsia="Arial"/>
        <w:noProof/>
        <w:color w:val="555555"/>
        <w:sz w:val="16"/>
        <w:szCs w:val="16"/>
      </w:rPr>
      <w:t>1</w:t>
    </w:r>
    <w:r>
      <w:rPr>
        <w:color w:val="555555"/>
        <w:sz w:val="16"/>
        <w:szCs w:val="16"/>
      </w:rPr>
      <w:fldChar w:fldCharType="end"/>
    </w:r>
    <w:r>
      <w:rPr>
        <w:rFonts w:eastAsia="Arial"/>
        <w:color w:val="555555"/>
        <w:sz w:val="16"/>
        <w:szCs w:val="16"/>
      </w:rPr>
      <w:t xml:space="preserve"> / </w:t>
    </w:r>
    <w:r>
      <w:rPr>
        <w:color w:val="555555"/>
        <w:sz w:val="16"/>
        <w:szCs w:val="16"/>
      </w:rPr>
      <w:fldChar w:fldCharType="begin"/>
    </w:r>
    <w:r>
      <w:rPr>
        <w:rFonts w:eastAsia="Arial"/>
        <w:color w:val="555555"/>
        <w:sz w:val="16"/>
        <w:szCs w:val="16"/>
      </w:rPr>
      <w:instrText>NUMPAGES</w:instrText>
    </w:r>
    <w:r>
      <w:rPr>
        <w:color w:val="555555"/>
        <w:sz w:val="16"/>
        <w:szCs w:val="16"/>
      </w:rPr>
      <w:fldChar w:fldCharType="separate"/>
    </w:r>
    <w:r w:rsidR="005F5566">
      <w:rPr>
        <w:rFonts w:eastAsia="Arial"/>
        <w:noProof/>
        <w:color w:val="555555"/>
        <w:sz w:val="16"/>
        <w:szCs w:val="16"/>
      </w:rPr>
      <w:t>2</w:t>
    </w:r>
    <w:r>
      <w:rPr>
        <w:color w:val="55555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4C1CE" w14:textId="77777777" w:rsidR="00736868" w:rsidRDefault="00736868">
      <w:r>
        <w:separator/>
      </w:r>
    </w:p>
  </w:footnote>
  <w:footnote w:type="continuationSeparator" w:id="0">
    <w:p w14:paraId="54251941" w14:textId="77777777" w:rsidR="00736868" w:rsidRDefault="00736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87D4B" w14:textId="331784C7" w:rsidR="004A612E" w:rsidRPr="00A1363A" w:rsidRDefault="00A1363A">
    <w:pPr>
      <w:pBdr>
        <w:bottom w:val="single" w:sz="6" w:space="0" w:color="2E75B6"/>
      </w:pBdr>
      <w:tabs>
        <w:tab w:val="right" w:pos="9746"/>
      </w:tabs>
      <w:spacing w:after="60"/>
      <w:rPr>
        <w:rFonts w:eastAsia="Arial"/>
        <w:i/>
        <w:iCs/>
        <w:color w:val="2E75B6"/>
        <w:sz w:val="12"/>
        <w:szCs w:val="12"/>
      </w:rPr>
    </w:pPr>
    <w:r w:rsidRPr="00A1363A">
      <w:rPr>
        <w:noProof/>
        <w:sz w:val="12"/>
        <w:szCs w:val="12"/>
      </w:rPr>
      <w:drawing>
        <wp:inline distT="0" distB="0" distL="0" distR="0" wp14:anchorId="39BE202E" wp14:editId="564C9107">
          <wp:extent cx="265541" cy="156366"/>
          <wp:effectExtent l="0" t="0" r="1270" b="0"/>
          <wp:docPr id="1832511316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53" cy="162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4896F2" wp14:editId="4CD36B20">
          <wp:extent cx="795655" cy="130175"/>
          <wp:effectExtent l="0" t="0" r="4445" b="3175"/>
          <wp:docPr id="1327019256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7019256" name="Picture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5655" cy="130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622BD">
      <w:rPr>
        <w:rFonts w:eastAsia="Arial"/>
        <w:i/>
        <w:iCs/>
        <w:color w:val="2E75B6"/>
        <w:sz w:val="17"/>
        <w:szCs w:val="17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748D"/>
    <w:multiLevelType w:val="multilevel"/>
    <w:tmpl w:val="2CC83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396D96"/>
    <w:multiLevelType w:val="multilevel"/>
    <w:tmpl w:val="BB6E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81707"/>
    <w:multiLevelType w:val="multilevel"/>
    <w:tmpl w:val="4FA2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40711"/>
    <w:multiLevelType w:val="hybridMultilevel"/>
    <w:tmpl w:val="82903610"/>
    <w:lvl w:ilvl="0" w:tplc="4DDC6760">
      <w:start w:val="1"/>
      <w:numFmt w:val="bullet"/>
      <w:lvlText w:val="●"/>
      <w:lvlJc w:val="left"/>
      <w:pPr>
        <w:ind w:left="720" w:hanging="360"/>
      </w:pPr>
    </w:lvl>
    <w:lvl w:ilvl="1" w:tplc="5FF814AE">
      <w:start w:val="1"/>
      <w:numFmt w:val="bullet"/>
      <w:lvlText w:val="○"/>
      <w:lvlJc w:val="left"/>
      <w:pPr>
        <w:ind w:left="1440" w:hanging="360"/>
      </w:pPr>
    </w:lvl>
    <w:lvl w:ilvl="2" w:tplc="99303754">
      <w:start w:val="1"/>
      <w:numFmt w:val="bullet"/>
      <w:lvlText w:val="■"/>
      <w:lvlJc w:val="left"/>
      <w:pPr>
        <w:ind w:left="2160" w:hanging="360"/>
      </w:pPr>
    </w:lvl>
    <w:lvl w:ilvl="3" w:tplc="03426D06">
      <w:start w:val="1"/>
      <w:numFmt w:val="bullet"/>
      <w:lvlText w:val="●"/>
      <w:lvlJc w:val="left"/>
      <w:pPr>
        <w:ind w:left="2880" w:hanging="360"/>
      </w:pPr>
    </w:lvl>
    <w:lvl w:ilvl="4" w:tplc="F00C8722">
      <w:start w:val="1"/>
      <w:numFmt w:val="bullet"/>
      <w:lvlText w:val="○"/>
      <w:lvlJc w:val="left"/>
      <w:pPr>
        <w:ind w:left="3600" w:hanging="360"/>
      </w:pPr>
    </w:lvl>
    <w:lvl w:ilvl="5" w:tplc="BE6A6BAE">
      <w:start w:val="1"/>
      <w:numFmt w:val="bullet"/>
      <w:lvlText w:val="■"/>
      <w:lvlJc w:val="left"/>
      <w:pPr>
        <w:ind w:left="4320" w:hanging="360"/>
      </w:pPr>
    </w:lvl>
    <w:lvl w:ilvl="6" w:tplc="8F3A4BA0">
      <w:start w:val="1"/>
      <w:numFmt w:val="bullet"/>
      <w:lvlText w:val="●"/>
      <w:lvlJc w:val="left"/>
      <w:pPr>
        <w:ind w:left="5040" w:hanging="360"/>
      </w:pPr>
    </w:lvl>
    <w:lvl w:ilvl="7" w:tplc="AAA051F0">
      <w:start w:val="1"/>
      <w:numFmt w:val="bullet"/>
      <w:lvlText w:val="●"/>
      <w:lvlJc w:val="left"/>
      <w:pPr>
        <w:ind w:left="5760" w:hanging="360"/>
      </w:pPr>
    </w:lvl>
    <w:lvl w:ilvl="8" w:tplc="D152ACA8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0E307429"/>
    <w:multiLevelType w:val="multilevel"/>
    <w:tmpl w:val="5414E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A5950"/>
    <w:multiLevelType w:val="multilevel"/>
    <w:tmpl w:val="2738D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812C4"/>
    <w:multiLevelType w:val="multilevel"/>
    <w:tmpl w:val="4C56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B6059"/>
    <w:multiLevelType w:val="multilevel"/>
    <w:tmpl w:val="19623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03167A"/>
    <w:multiLevelType w:val="multilevel"/>
    <w:tmpl w:val="132A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7641E3"/>
    <w:multiLevelType w:val="multilevel"/>
    <w:tmpl w:val="B0E4B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A3473A"/>
    <w:multiLevelType w:val="multilevel"/>
    <w:tmpl w:val="95844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2C4990"/>
    <w:multiLevelType w:val="multilevel"/>
    <w:tmpl w:val="BF38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92FC4"/>
    <w:multiLevelType w:val="multilevel"/>
    <w:tmpl w:val="62EA1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2F4EBF"/>
    <w:multiLevelType w:val="multilevel"/>
    <w:tmpl w:val="7B421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B05420"/>
    <w:multiLevelType w:val="multilevel"/>
    <w:tmpl w:val="3A9E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550455"/>
    <w:multiLevelType w:val="multilevel"/>
    <w:tmpl w:val="9B34B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D259D"/>
    <w:multiLevelType w:val="multilevel"/>
    <w:tmpl w:val="7A360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5B2EDD"/>
    <w:multiLevelType w:val="multilevel"/>
    <w:tmpl w:val="0E8C6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F0EA2"/>
    <w:multiLevelType w:val="multilevel"/>
    <w:tmpl w:val="19787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E558D6"/>
    <w:multiLevelType w:val="multilevel"/>
    <w:tmpl w:val="B2E0E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F261AA"/>
    <w:multiLevelType w:val="multilevel"/>
    <w:tmpl w:val="1474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837285"/>
    <w:multiLevelType w:val="multilevel"/>
    <w:tmpl w:val="492C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2A6D40"/>
    <w:multiLevelType w:val="multilevel"/>
    <w:tmpl w:val="EA56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9B60B1"/>
    <w:multiLevelType w:val="multilevel"/>
    <w:tmpl w:val="7B68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C14F67"/>
    <w:multiLevelType w:val="multilevel"/>
    <w:tmpl w:val="F104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966842"/>
    <w:multiLevelType w:val="multilevel"/>
    <w:tmpl w:val="DA1E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D01468"/>
    <w:multiLevelType w:val="hybridMultilevel"/>
    <w:tmpl w:val="FB36CA1A"/>
    <w:lvl w:ilvl="0" w:tplc="E03E2FFE">
      <w:start w:val="1"/>
      <w:numFmt w:val="bullet"/>
      <w:lvlText w:val="•"/>
      <w:lvlJc w:val="left"/>
      <w:pPr>
        <w:ind w:left="720" w:hanging="360"/>
      </w:pPr>
    </w:lvl>
    <w:lvl w:ilvl="1" w:tplc="98F0AC06">
      <w:numFmt w:val="decimal"/>
      <w:lvlText w:val=""/>
      <w:lvlJc w:val="left"/>
    </w:lvl>
    <w:lvl w:ilvl="2" w:tplc="FDD220DE">
      <w:numFmt w:val="decimal"/>
      <w:lvlText w:val=""/>
      <w:lvlJc w:val="left"/>
    </w:lvl>
    <w:lvl w:ilvl="3" w:tplc="41CEECFA">
      <w:numFmt w:val="decimal"/>
      <w:lvlText w:val=""/>
      <w:lvlJc w:val="left"/>
    </w:lvl>
    <w:lvl w:ilvl="4" w:tplc="DE9A75D4">
      <w:numFmt w:val="decimal"/>
      <w:lvlText w:val=""/>
      <w:lvlJc w:val="left"/>
    </w:lvl>
    <w:lvl w:ilvl="5" w:tplc="D71CEC8C">
      <w:numFmt w:val="decimal"/>
      <w:lvlText w:val=""/>
      <w:lvlJc w:val="left"/>
    </w:lvl>
    <w:lvl w:ilvl="6" w:tplc="79226D78">
      <w:numFmt w:val="decimal"/>
      <w:lvlText w:val=""/>
      <w:lvlJc w:val="left"/>
    </w:lvl>
    <w:lvl w:ilvl="7" w:tplc="0CAC69E8">
      <w:numFmt w:val="decimal"/>
      <w:lvlText w:val=""/>
      <w:lvlJc w:val="left"/>
    </w:lvl>
    <w:lvl w:ilvl="8" w:tplc="847876CC">
      <w:numFmt w:val="decimal"/>
      <w:lvlText w:val=""/>
      <w:lvlJc w:val="left"/>
    </w:lvl>
  </w:abstractNum>
  <w:abstractNum w:abstractNumId="27" w15:restartNumberingAfterBreak="0">
    <w:nsid w:val="728D5343"/>
    <w:multiLevelType w:val="multilevel"/>
    <w:tmpl w:val="EE4C7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374817"/>
    <w:multiLevelType w:val="multilevel"/>
    <w:tmpl w:val="DF54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58272D"/>
    <w:multiLevelType w:val="multilevel"/>
    <w:tmpl w:val="50FC5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0E3581"/>
    <w:multiLevelType w:val="multilevel"/>
    <w:tmpl w:val="88440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E63E9E"/>
    <w:multiLevelType w:val="multilevel"/>
    <w:tmpl w:val="DB56F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303793">
    <w:abstractNumId w:val="3"/>
    <w:lvlOverride w:ilvl="0">
      <w:startOverride w:val="1"/>
    </w:lvlOverride>
  </w:num>
  <w:num w:numId="2" w16cid:durableId="1585144843">
    <w:abstractNumId w:val="15"/>
  </w:num>
  <w:num w:numId="3" w16cid:durableId="280386260">
    <w:abstractNumId w:val="19"/>
  </w:num>
  <w:num w:numId="4" w16cid:durableId="1146312317">
    <w:abstractNumId w:val="18"/>
  </w:num>
  <w:num w:numId="5" w16cid:durableId="1858887607">
    <w:abstractNumId w:val="11"/>
  </w:num>
  <w:num w:numId="6" w16cid:durableId="1297835707">
    <w:abstractNumId w:val="13"/>
  </w:num>
  <w:num w:numId="7" w16cid:durableId="2023511543">
    <w:abstractNumId w:val="8"/>
  </w:num>
  <w:num w:numId="8" w16cid:durableId="1530141138">
    <w:abstractNumId w:val="28"/>
  </w:num>
  <w:num w:numId="9" w16cid:durableId="1743797127">
    <w:abstractNumId w:val="16"/>
  </w:num>
  <w:num w:numId="10" w16cid:durableId="1515923264">
    <w:abstractNumId w:val="22"/>
  </w:num>
  <w:num w:numId="11" w16cid:durableId="1792935269">
    <w:abstractNumId w:val="30"/>
  </w:num>
  <w:num w:numId="12" w16cid:durableId="1678267016">
    <w:abstractNumId w:val="23"/>
  </w:num>
  <w:num w:numId="13" w16cid:durableId="1569733004">
    <w:abstractNumId w:val="0"/>
  </w:num>
  <w:num w:numId="14" w16cid:durableId="1692802719">
    <w:abstractNumId w:val="20"/>
  </w:num>
  <w:num w:numId="15" w16cid:durableId="336273542">
    <w:abstractNumId w:val="24"/>
  </w:num>
  <w:num w:numId="16" w16cid:durableId="1041124856">
    <w:abstractNumId w:val="1"/>
  </w:num>
  <w:num w:numId="17" w16cid:durableId="614096164">
    <w:abstractNumId w:val="9"/>
  </w:num>
  <w:num w:numId="18" w16cid:durableId="471799915">
    <w:abstractNumId w:val="29"/>
  </w:num>
  <w:num w:numId="19" w16cid:durableId="1760177851">
    <w:abstractNumId w:val="21"/>
  </w:num>
  <w:num w:numId="20" w16cid:durableId="583757895">
    <w:abstractNumId w:val="27"/>
  </w:num>
  <w:num w:numId="21" w16cid:durableId="628631912">
    <w:abstractNumId w:val="4"/>
  </w:num>
  <w:num w:numId="22" w16cid:durableId="1216045838">
    <w:abstractNumId w:val="10"/>
  </w:num>
  <w:num w:numId="23" w16cid:durableId="1797748444">
    <w:abstractNumId w:val="31"/>
  </w:num>
  <w:num w:numId="24" w16cid:durableId="933395260">
    <w:abstractNumId w:val="12"/>
  </w:num>
  <w:num w:numId="25" w16cid:durableId="1078552910">
    <w:abstractNumId w:val="25"/>
  </w:num>
  <w:num w:numId="26" w16cid:durableId="1958217111">
    <w:abstractNumId w:val="2"/>
  </w:num>
  <w:num w:numId="27" w16cid:durableId="1390835818">
    <w:abstractNumId w:val="7"/>
  </w:num>
  <w:num w:numId="28" w16cid:durableId="53548440">
    <w:abstractNumId w:val="6"/>
  </w:num>
  <w:num w:numId="29" w16cid:durableId="1894928847">
    <w:abstractNumId w:val="5"/>
  </w:num>
  <w:num w:numId="30" w16cid:durableId="151916256">
    <w:abstractNumId w:val="14"/>
  </w:num>
  <w:num w:numId="31" w16cid:durableId="17782103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12E"/>
    <w:rsid w:val="00014C59"/>
    <w:rsid w:val="00040A67"/>
    <w:rsid w:val="000F6CA3"/>
    <w:rsid w:val="00217D95"/>
    <w:rsid w:val="002D7D31"/>
    <w:rsid w:val="002E2848"/>
    <w:rsid w:val="00334556"/>
    <w:rsid w:val="00394DF4"/>
    <w:rsid w:val="00397B0A"/>
    <w:rsid w:val="003B7EC7"/>
    <w:rsid w:val="0040262F"/>
    <w:rsid w:val="004A612E"/>
    <w:rsid w:val="004E6C06"/>
    <w:rsid w:val="005F5566"/>
    <w:rsid w:val="00735A89"/>
    <w:rsid w:val="00736868"/>
    <w:rsid w:val="008622BD"/>
    <w:rsid w:val="008D3D9B"/>
    <w:rsid w:val="00970E70"/>
    <w:rsid w:val="009E5A2E"/>
    <w:rsid w:val="00A1363A"/>
    <w:rsid w:val="00A5160B"/>
    <w:rsid w:val="00A7603A"/>
    <w:rsid w:val="00A77FEE"/>
    <w:rsid w:val="00AE3AAD"/>
    <w:rsid w:val="00B661DF"/>
    <w:rsid w:val="00BC2C43"/>
    <w:rsid w:val="00BE0D17"/>
    <w:rsid w:val="00C23516"/>
    <w:rsid w:val="00C417E6"/>
    <w:rsid w:val="00C85462"/>
    <w:rsid w:val="00D606A3"/>
    <w:rsid w:val="00DA27A9"/>
    <w:rsid w:val="00E54A57"/>
    <w:rsid w:val="00E71206"/>
    <w:rsid w:val="00F8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C23B45"/>
  <w15:docId w15:val="{C017B08D-EF66-4189-9B83-2B397863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color w:val="1A1A2E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240" w:after="120"/>
      <w:outlineLvl w:val="0"/>
    </w:pPr>
    <w:rPr>
      <w:rFonts w:eastAsia="Arial"/>
      <w:b/>
      <w:bCs/>
      <w:color w:val="1F3864"/>
      <w:sz w:val="34"/>
      <w:szCs w:val="34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尾注文本 字符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F55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5F5566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F55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5F55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47</Pages>
  <Words>17081</Words>
  <Characters>46803</Characters>
  <Application>Microsoft Office Word</Application>
  <DocSecurity>0</DocSecurity>
  <Lines>1337</Lines>
  <Paragraphs>851</Paragraphs>
  <ScaleCrop>false</ScaleCrop>
  <Company/>
  <LinksUpToDate>false</LinksUpToDate>
  <CharactersWithSpaces>63033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sun liu</cp:lastModifiedBy>
  <cp:revision>12</cp:revision>
  <dcterms:created xsi:type="dcterms:W3CDTF">2026-05-21T02:41:00Z</dcterms:created>
  <dcterms:modified xsi:type="dcterms:W3CDTF">2026-07-07T09:39:00Z</dcterms:modified>
</cp:coreProperties>
</file>